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B3" w:rsidRPr="00925E53" w:rsidRDefault="008F59B3">
      <w:pPr>
        <w:pStyle w:val="Style2"/>
        <w:widowControl/>
        <w:spacing w:line="240" w:lineRule="exact"/>
        <w:ind w:left="2218"/>
        <w:rPr>
          <w:rFonts w:ascii="Calibri" w:hAnsi="Calibri"/>
          <w:sz w:val="20"/>
          <w:szCs w:val="20"/>
        </w:rPr>
      </w:pPr>
    </w:p>
    <w:p w:rsidR="008F59B3" w:rsidRPr="00925E53" w:rsidRDefault="008F59B3">
      <w:pPr>
        <w:pStyle w:val="Style2"/>
        <w:widowControl/>
        <w:spacing w:line="240" w:lineRule="exact"/>
        <w:ind w:left="2218"/>
        <w:rPr>
          <w:rFonts w:ascii="Calibri" w:hAnsi="Calibri"/>
          <w:sz w:val="20"/>
          <w:szCs w:val="20"/>
        </w:rPr>
      </w:pPr>
    </w:p>
    <w:p w:rsidR="008F59B3" w:rsidRPr="00925E53" w:rsidRDefault="008F59B3">
      <w:pPr>
        <w:pStyle w:val="Style2"/>
        <w:widowControl/>
        <w:spacing w:line="240" w:lineRule="exact"/>
        <w:ind w:left="2218"/>
        <w:rPr>
          <w:rFonts w:ascii="Calibri" w:hAnsi="Calibri"/>
          <w:sz w:val="20"/>
          <w:szCs w:val="20"/>
        </w:rPr>
      </w:pPr>
    </w:p>
    <w:p w:rsidR="008F59B3" w:rsidRPr="00925E53" w:rsidRDefault="008F59B3">
      <w:pPr>
        <w:pStyle w:val="Style2"/>
        <w:widowControl/>
        <w:spacing w:line="240" w:lineRule="exact"/>
        <w:ind w:left="2218"/>
        <w:rPr>
          <w:rFonts w:ascii="Calibri" w:hAnsi="Calibri"/>
          <w:sz w:val="20"/>
          <w:szCs w:val="20"/>
        </w:rPr>
      </w:pPr>
    </w:p>
    <w:p w:rsidR="008F59B3" w:rsidRPr="00925E53" w:rsidRDefault="008F59B3">
      <w:pPr>
        <w:pStyle w:val="Style2"/>
        <w:widowControl/>
        <w:spacing w:line="240" w:lineRule="exact"/>
        <w:ind w:left="2218"/>
        <w:rPr>
          <w:rFonts w:ascii="Calibri" w:hAnsi="Calibri"/>
          <w:sz w:val="20"/>
          <w:szCs w:val="20"/>
        </w:rPr>
      </w:pPr>
    </w:p>
    <w:p w:rsidR="008F59B3" w:rsidRPr="001E1A70" w:rsidRDefault="008F59B3" w:rsidP="001E1A70">
      <w:pPr>
        <w:pStyle w:val="Style2"/>
        <w:widowControl/>
        <w:spacing w:before="168" w:line="240" w:lineRule="auto"/>
        <w:ind w:firstLine="0"/>
        <w:jc w:val="center"/>
        <w:rPr>
          <w:rStyle w:val="FontStyle16"/>
          <w:rFonts w:ascii="Calibri" w:hAnsi="Calibri"/>
          <w:b/>
          <w:sz w:val="40"/>
          <w:szCs w:val="40"/>
        </w:rPr>
      </w:pPr>
      <w:r w:rsidRPr="001E1A70">
        <w:rPr>
          <w:rStyle w:val="FontStyle16"/>
          <w:rFonts w:ascii="Calibri" w:hAnsi="Calibri"/>
          <w:b/>
          <w:sz w:val="40"/>
          <w:szCs w:val="40"/>
        </w:rPr>
        <w:t>SPECYFIKACJA TECHNICZNA WYKONANIA i ODBIORU ROBÓT BUDOWLANYCH</w:t>
      </w:r>
    </w:p>
    <w:p w:rsidR="008F59B3" w:rsidRPr="00AE4DA0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Pr="00AE4DA0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Pr="00AE4DA0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Pr="00AE4DA0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Pr="00AE4DA0" w:rsidRDefault="008F59B3">
      <w:pPr>
        <w:pStyle w:val="Style3"/>
        <w:widowControl/>
        <w:spacing w:line="240" w:lineRule="exact"/>
        <w:ind w:left="1195"/>
        <w:rPr>
          <w:rFonts w:ascii="Calibri" w:hAnsi="Calibri"/>
          <w:sz w:val="20"/>
          <w:szCs w:val="20"/>
        </w:rPr>
      </w:pPr>
    </w:p>
    <w:p w:rsidR="008F59B3" w:rsidRPr="001E1A70" w:rsidRDefault="008F59B3" w:rsidP="001E1A70">
      <w:pPr>
        <w:pStyle w:val="Style10"/>
        <w:widowControl/>
        <w:tabs>
          <w:tab w:val="left" w:pos="1134"/>
        </w:tabs>
        <w:spacing w:line="360" w:lineRule="auto"/>
        <w:ind w:left="1134" w:hanging="1134"/>
        <w:rPr>
          <w:rFonts w:ascii="Calibri" w:hAnsi="Calibri"/>
        </w:rPr>
      </w:pPr>
      <w:r w:rsidRPr="001E1A70">
        <w:rPr>
          <w:rStyle w:val="FontStyle19"/>
          <w:rFonts w:ascii="Calibri" w:hAnsi="Calibri"/>
          <w:sz w:val="24"/>
          <w:szCs w:val="24"/>
        </w:rPr>
        <w:t>obiekt:</w:t>
      </w:r>
      <w:r w:rsidRPr="001E1A70">
        <w:rPr>
          <w:rStyle w:val="FontStyle19"/>
          <w:rFonts w:ascii="Calibri" w:hAnsi="Calibri"/>
          <w:sz w:val="24"/>
          <w:szCs w:val="24"/>
        </w:rPr>
        <w:tab/>
      </w:r>
      <w:r w:rsidRPr="001E1A70">
        <w:rPr>
          <w:rFonts w:ascii="Calibri" w:hAnsi="Calibri"/>
          <w:b/>
          <w:bCs/>
          <w:color w:val="000000"/>
        </w:rPr>
        <w:t>Budowa parkingów oraz zatoki dla autobusów przy Centrum św. Ojca Pio w Kalonce – etap I</w:t>
      </w:r>
    </w:p>
    <w:p w:rsidR="008F59B3" w:rsidRDefault="008F59B3" w:rsidP="001E1A70">
      <w:pPr>
        <w:pStyle w:val="Style10"/>
        <w:widowControl/>
        <w:tabs>
          <w:tab w:val="left" w:pos="1134"/>
        </w:tabs>
        <w:spacing w:line="360" w:lineRule="auto"/>
        <w:ind w:left="1134" w:hanging="1134"/>
        <w:rPr>
          <w:rStyle w:val="FontStyle19"/>
          <w:rFonts w:ascii="Calibri" w:hAnsi="Calibri"/>
          <w:sz w:val="24"/>
          <w:szCs w:val="24"/>
        </w:rPr>
      </w:pPr>
    </w:p>
    <w:p w:rsidR="008F59B3" w:rsidRPr="001E1A70" w:rsidRDefault="008F59B3" w:rsidP="001E1A70">
      <w:pPr>
        <w:pStyle w:val="Style10"/>
        <w:widowControl/>
        <w:tabs>
          <w:tab w:val="left" w:pos="1134"/>
        </w:tabs>
        <w:spacing w:line="360" w:lineRule="auto"/>
        <w:ind w:left="1134" w:hanging="1134"/>
        <w:rPr>
          <w:rStyle w:val="FontStyle20"/>
          <w:rFonts w:ascii="Calibri" w:hAnsi="Calibri"/>
          <w:sz w:val="24"/>
          <w:szCs w:val="24"/>
        </w:rPr>
      </w:pPr>
      <w:r w:rsidRPr="001E1A70">
        <w:rPr>
          <w:rStyle w:val="FontStyle19"/>
          <w:rFonts w:ascii="Calibri" w:hAnsi="Calibri"/>
          <w:sz w:val="24"/>
          <w:szCs w:val="24"/>
        </w:rPr>
        <w:t>inwestor</w:t>
      </w:r>
      <w:r w:rsidRPr="001E1A70">
        <w:rPr>
          <w:rStyle w:val="FontStyle20"/>
          <w:rFonts w:ascii="Calibri" w:hAnsi="Calibri"/>
          <w:sz w:val="24"/>
          <w:szCs w:val="24"/>
        </w:rPr>
        <w:t>:</w:t>
      </w:r>
      <w:r>
        <w:rPr>
          <w:rStyle w:val="FontStyle20"/>
          <w:rFonts w:ascii="Calibri" w:hAnsi="Calibri"/>
          <w:sz w:val="24"/>
          <w:szCs w:val="24"/>
        </w:rPr>
        <w:tab/>
      </w:r>
      <w:r w:rsidRPr="001E1A70">
        <w:rPr>
          <w:rFonts w:ascii="Calibri" w:hAnsi="Calibri"/>
          <w:b/>
          <w:bCs/>
          <w:color w:val="000000"/>
        </w:rPr>
        <w:t>Gmina Nowosolna</w:t>
      </w:r>
    </w:p>
    <w:p w:rsidR="008F59B3" w:rsidRPr="001E1A70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  <w:r w:rsidRPr="001E1A70">
        <w:rPr>
          <w:rFonts w:ascii="Calibri" w:hAnsi="Calibri"/>
          <w:b/>
          <w:bCs/>
          <w:i/>
          <w:iCs/>
          <w:color w:val="000000"/>
        </w:rPr>
        <w:t>ul. Rynek Nowosolna 1</w:t>
      </w: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  <w:r w:rsidRPr="001E1A70">
        <w:rPr>
          <w:rFonts w:ascii="Calibri" w:hAnsi="Calibri"/>
          <w:b/>
          <w:bCs/>
          <w:i/>
          <w:iCs/>
          <w:color w:val="000000"/>
        </w:rPr>
        <w:t>92-703 Łódź</w:t>
      </w: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Pr="00F53D23" w:rsidRDefault="008F59B3" w:rsidP="00F53D23">
      <w:pPr>
        <w:pStyle w:val="Style9"/>
        <w:spacing w:line="240" w:lineRule="auto"/>
        <w:ind w:left="142" w:hanging="142"/>
        <w:jc w:val="center"/>
        <w:rPr>
          <w:rFonts w:ascii="Calibri" w:hAnsi="Calibri"/>
          <w:bCs/>
          <w:i/>
          <w:iCs/>
          <w:color w:val="000000"/>
        </w:rPr>
      </w:pPr>
      <w:r w:rsidRPr="00F53D23">
        <w:rPr>
          <w:rFonts w:ascii="Calibri" w:hAnsi="Calibri"/>
          <w:bCs/>
          <w:i/>
          <w:iCs/>
          <w:color w:val="000000"/>
        </w:rPr>
        <w:t>Łódź, lipiec 2011</w:t>
      </w:r>
    </w:p>
    <w:p w:rsidR="008F59B3" w:rsidRDefault="008F59B3" w:rsidP="00F53D23">
      <w:pPr>
        <w:pStyle w:val="Style9"/>
        <w:spacing w:line="240" w:lineRule="auto"/>
        <w:ind w:left="142" w:hanging="142"/>
        <w:rPr>
          <w:rFonts w:ascii="Calibri" w:hAnsi="Calibri"/>
          <w:b/>
          <w:bCs/>
          <w:i/>
          <w:iCs/>
          <w:color w:val="000000"/>
        </w:rPr>
      </w:pPr>
    </w:p>
    <w:p w:rsidR="008F59B3" w:rsidRDefault="008F59B3" w:rsidP="00F53D23">
      <w:pPr>
        <w:pStyle w:val="Style9"/>
        <w:spacing w:line="240" w:lineRule="auto"/>
        <w:ind w:left="142" w:hanging="142"/>
        <w:rPr>
          <w:rFonts w:ascii="Calibri" w:hAnsi="Calibri"/>
          <w:b/>
          <w:bCs/>
          <w:i/>
          <w:iCs/>
          <w:color w:val="000000"/>
        </w:rPr>
        <w:sectPr w:rsidR="008F59B3" w:rsidSect="003C4B43">
          <w:headerReference w:type="default" r:id="rId7"/>
          <w:footerReference w:type="default" r:id="rId8"/>
          <w:pgSz w:w="11905" w:h="16837"/>
          <w:pgMar w:top="871" w:right="1333" w:bottom="1440" w:left="2355" w:header="708" w:footer="708" w:gutter="0"/>
          <w:cols w:space="60"/>
          <w:noEndnote/>
        </w:sectPr>
      </w:pPr>
    </w:p>
    <w:p w:rsidR="008F59B3" w:rsidRPr="001E1A70" w:rsidRDefault="008F59B3" w:rsidP="00B9302D">
      <w:pPr>
        <w:pStyle w:val="Style9"/>
        <w:spacing w:line="240" w:lineRule="auto"/>
        <w:ind w:left="1577"/>
        <w:rPr>
          <w:rFonts w:ascii="Calibri" w:hAnsi="Calibri"/>
          <w:b/>
          <w:bCs/>
          <w:i/>
          <w:iCs/>
          <w:color w:val="000000"/>
        </w:rPr>
      </w:pPr>
    </w:p>
    <w:p w:rsidR="008F59B3" w:rsidRPr="00AE4DA0" w:rsidRDefault="008F59B3" w:rsidP="00AE4DA0">
      <w:pPr>
        <w:pStyle w:val="Style8"/>
        <w:widowControl/>
        <w:tabs>
          <w:tab w:val="left" w:pos="567"/>
        </w:tabs>
        <w:spacing w:line="240" w:lineRule="exact"/>
        <w:jc w:val="center"/>
        <w:rPr>
          <w:rFonts w:ascii="Calibri" w:hAnsi="Calibri"/>
          <w:b/>
          <w:sz w:val="28"/>
          <w:szCs w:val="28"/>
        </w:rPr>
      </w:pPr>
      <w:r w:rsidRPr="00AE4DA0">
        <w:rPr>
          <w:rFonts w:ascii="Calibri" w:hAnsi="Calibri"/>
          <w:b/>
          <w:sz w:val="28"/>
          <w:szCs w:val="28"/>
        </w:rPr>
        <w:t>SPECYFIKACJA OGÓLNA WYKONANIA I ODBIORU ROBÓT</w:t>
      </w:r>
    </w:p>
    <w:p w:rsidR="008F59B3" w:rsidRPr="00AE4DA0" w:rsidRDefault="008F59B3" w:rsidP="00AE4DA0">
      <w:pPr>
        <w:pStyle w:val="Style8"/>
        <w:widowControl/>
        <w:tabs>
          <w:tab w:val="left" w:pos="567"/>
        </w:tabs>
        <w:spacing w:line="240" w:lineRule="exact"/>
        <w:rPr>
          <w:rFonts w:ascii="Calibri" w:hAnsi="Calibri"/>
          <w:sz w:val="20"/>
          <w:szCs w:val="20"/>
        </w:rPr>
      </w:pPr>
    </w:p>
    <w:p w:rsidR="008F59B3" w:rsidRPr="00AE4DA0" w:rsidRDefault="008F59B3" w:rsidP="00AE4DA0">
      <w:pPr>
        <w:pStyle w:val="Style14"/>
        <w:widowControl/>
        <w:numPr>
          <w:ilvl w:val="0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CZĘŚĆ OGÓLNA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Nazwa nadana zamówieniu przez Zamawiającego</w:t>
      </w:r>
    </w:p>
    <w:p w:rsidR="008F59B3" w:rsidRPr="00AE4DA0" w:rsidRDefault="008F59B3" w:rsidP="00AE4DA0">
      <w:pPr>
        <w:pStyle w:val="Style14"/>
        <w:widowControl/>
        <w:tabs>
          <w:tab w:val="left" w:pos="216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Fonts w:ascii="Calibri" w:hAnsi="Calibri"/>
          <w:bCs/>
          <w:i/>
          <w:color w:val="000000"/>
        </w:rPr>
        <w:t>„Budowa parkingów oraz zatoki dla autobusów przy Centrum św. Ojca Pio w Kalonce – etap I”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14"/>
          <w:rFonts w:ascii="Calibri" w:hAnsi="Calibri"/>
          <w:i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Przedmiot Specyfikacji Technicznej.</w:t>
      </w:r>
      <w:r w:rsidRPr="00AE4DA0">
        <w:rPr>
          <w:rStyle w:val="FontStyle14"/>
          <w:rFonts w:ascii="Calibri" w:hAnsi="Calibri"/>
          <w:i/>
          <w:sz w:val="24"/>
          <w:szCs w:val="24"/>
        </w:rPr>
        <w:t xml:space="preserve"> </w:t>
      </w:r>
    </w:p>
    <w:p w:rsidR="008F59B3" w:rsidRPr="00AE4DA0" w:rsidRDefault="008F59B3" w:rsidP="00AE4DA0">
      <w:pPr>
        <w:pStyle w:val="Style14"/>
        <w:widowControl/>
        <w:tabs>
          <w:tab w:val="left" w:pos="216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14"/>
          <w:rFonts w:ascii="Calibri" w:hAnsi="Calibri"/>
          <w:i/>
          <w:sz w:val="24"/>
          <w:szCs w:val="24"/>
        </w:rPr>
        <w:t xml:space="preserve">Przedmiotem niniejszej specyfikacji technicznej są wymagania dotyczące wykonania i odbioru robót budowlanych związanych z wykonaniem </w:t>
      </w:r>
      <w:r w:rsidRPr="00AE4DA0">
        <w:rPr>
          <w:rFonts w:ascii="Calibri" w:hAnsi="Calibri"/>
          <w:bCs/>
          <w:i/>
          <w:color w:val="000000"/>
        </w:rPr>
        <w:t>parkingów oraz zatoki dla autobusów przy centrum św. Ojca Pio W Kalonce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Zakres stosowania specyfikacji technicznej.</w:t>
      </w:r>
    </w:p>
    <w:p w:rsidR="008F59B3" w:rsidRPr="00AE4DA0" w:rsidRDefault="008F59B3" w:rsidP="00AE4DA0">
      <w:pPr>
        <w:pStyle w:val="Style14"/>
        <w:widowControl/>
        <w:tabs>
          <w:tab w:val="left" w:pos="216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14"/>
          <w:rFonts w:ascii="Calibri" w:hAnsi="Calibri"/>
          <w:i/>
          <w:sz w:val="24"/>
          <w:szCs w:val="24"/>
        </w:rPr>
        <w:t>Specyfikacja techniczna jest jednym z dokumentów niezbędnych przy udzielaniu zamówień publicznych i stanowi zbiór wymagań w zakresie sposobu wykonania robót budowlanych, obejmujący w szczególności wymagania właściwości materiałów, wymagania dotyczące sposobu wykonania i oceny prawidłowości wykonania poszczególnych robót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 xml:space="preserve">Zakres robót objętych specyfikacją. </w:t>
      </w:r>
    </w:p>
    <w:p w:rsidR="008F59B3" w:rsidRPr="003E257E" w:rsidRDefault="008F59B3" w:rsidP="00AE4DA0">
      <w:pPr>
        <w:pStyle w:val="Style14"/>
        <w:widowControl/>
        <w:tabs>
          <w:tab w:val="left" w:pos="216"/>
          <w:tab w:val="left" w:pos="567"/>
        </w:tabs>
        <w:spacing w:line="240" w:lineRule="auto"/>
        <w:ind w:firstLine="0"/>
        <w:jc w:val="both"/>
        <w:rPr>
          <w:rStyle w:val="FontStyle14"/>
          <w:rFonts w:ascii="Calibri" w:hAnsi="Calibri"/>
          <w:i/>
          <w:sz w:val="24"/>
          <w:szCs w:val="24"/>
        </w:rPr>
      </w:pPr>
      <w:r w:rsidRPr="003E257E">
        <w:rPr>
          <w:rStyle w:val="FontStyle14"/>
          <w:rFonts w:ascii="Calibri" w:hAnsi="Calibri"/>
          <w:i/>
          <w:sz w:val="24"/>
          <w:szCs w:val="24"/>
        </w:rPr>
        <w:t xml:space="preserve">Ustalenia zawarte w niniejszej specyfikacji dotyczą zasad prowadzenia robót związanych z wykonaniem niniejszego zadania. </w:t>
      </w:r>
    </w:p>
    <w:p w:rsidR="008F59B3" w:rsidRPr="003E257E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3E257E">
        <w:rPr>
          <w:rStyle w:val="FontStyle22"/>
          <w:rFonts w:cs="Tahoma"/>
          <w:sz w:val="24"/>
          <w:szCs w:val="24"/>
        </w:rPr>
        <w:t>0gólne wymagania dotyczące robót.</w:t>
      </w:r>
    </w:p>
    <w:p w:rsidR="008F59B3" w:rsidRPr="00AE4DA0" w:rsidRDefault="008F59B3" w:rsidP="00AE4DA0">
      <w:pPr>
        <w:pStyle w:val="Style7"/>
        <w:widowControl/>
        <w:tabs>
          <w:tab w:val="left" w:pos="567"/>
        </w:tabs>
        <w:jc w:val="both"/>
        <w:rPr>
          <w:rStyle w:val="FontStyle14"/>
          <w:rFonts w:ascii="Calibri" w:hAnsi="Calibri"/>
          <w:i/>
          <w:sz w:val="24"/>
          <w:szCs w:val="24"/>
        </w:rPr>
      </w:pPr>
      <w:r w:rsidRPr="00AE4DA0">
        <w:rPr>
          <w:rStyle w:val="FontStyle14"/>
          <w:rFonts w:ascii="Calibri" w:hAnsi="Calibri"/>
          <w:i/>
          <w:sz w:val="24"/>
          <w:szCs w:val="24"/>
        </w:rPr>
        <w:t>Wykonawca robót jest odpowiedzialny za jakość ich wykonania oraz ich zgodność z kosztorysem, specyfikacją techniczną i poleceniami Zamawiającego.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Przekazanie placu budowy.</w:t>
      </w:r>
    </w:p>
    <w:p w:rsidR="008F59B3" w:rsidRPr="00AE4DA0" w:rsidRDefault="008F59B3" w:rsidP="00AE4DA0">
      <w:pPr>
        <w:pStyle w:val="Style7"/>
        <w:widowControl/>
        <w:tabs>
          <w:tab w:val="left" w:pos="567"/>
        </w:tabs>
        <w:jc w:val="both"/>
        <w:rPr>
          <w:rStyle w:val="FontStyle14"/>
          <w:rFonts w:ascii="Calibri" w:hAnsi="Calibri"/>
          <w:i/>
          <w:sz w:val="24"/>
          <w:szCs w:val="24"/>
        </w:rPr>
      </w:pPr>
      <w:r w:rsidRPr="00AE4DA0">
        <w:rPr>
          <w:rStyle w:val="FontStyle14"/>
          <w:rFonts w:ascii="Calibri" w:hAnsi="Calibri"/>
          <w:i/>
          <w:sz w:val="24"/>
          <w:szCs w:val="24"/>
        </w:rPr>
        <w:t>Zamawiający w terminie określonym w umowie o roboty budowlane przekaże Wykonawcy plac budowy wraz z dokumentacją formalno - prawną.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Zgodność robót z dokumentacją projektową i specyfikacją techniczną.</w:t>
      </w:r>
    </w:p>
    <w:p w:rsidR="008F59B3" w:rsidRPr="00AE4DA0" w:rsidRDefault="008F59B3" w:rsidP="00AE4DA0">
      <w:pPr>
        <w:pStyle w:val="Akapitzlist"/>
        <w:tabs>
          <w:tab w:val="left" w:pos="567"/>
        </w:tabs>
        <w:spacing w:before="120" w:after="120"/>
        <w:ind w:left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Fonts w:ascii="Calibri" w:hAnsi="Calibri"/>
          <w:i/>
          <w:color w:val="000000"/>
        </w:rPr>
        <w:t xml:space="preserve">Specyfikacja techniczna oraz dodatkowe dokumenty formalno - prawne przekazane Wykonawcy przez Zamawiającego stanowią część umowy, a wymagania wyszczególnione choćby w jednym z nich są obowiązujące dla Wykonawcy tak jakby były w całej dokumentacji. W przypadku rozbieżności w ustaleniach w poszczególnych dokumentach obowiązuje kolejność ich ważności wymieniona w umowie. Wykonawca nie może wykorzystać błędów lub opuszczeń w dokumentach przetargowych, a o ich wykryciu należy powiadomić Zamawiającego, który dokona odpowiednich zmian i poprawek. W przypadku rozbieżności, opis wymiarów jest ważniejszy od odczytu ze skali rysunków. Wszystkie wykonywane roboty oraz dostarczone materiały muszą być zgodne ze specyfikacją techniczną. Dane określone w specyfikacji technicznej powinny być uważane za wielkości docelowe, od których dopuszczalne są odchylenia w ramach określonego przedziału. Cechy materiałów powinny być jednorodne i wykazywać bliską zgodność z określonymi wymaganiami, a rozrzuty ich cech nie powinny przekraczać dopuszczalnego przedziału tolerancji. Jeżeli przedział tolerancji nie został określony w specyfikacji technicznej to należy </w:t>
      </w:r>
      <w:r w:rsidRPr="00AE4DA0">
        <w:rPr>
          <w:rFonts w:ascii="Calibri" w:hAnsi="Calibri"/>
          <w:i/>
          <w:color w:val="000000"/>
        </w:rPr>
        <w:lastRenderedPageBreak/>
        <w:t>przyjąć tolerancje akceptowane zwyczajowo dla danego rodzaju robót. W przypadku gdy materiały lub roboty nie są w pełni zgodne ze specyfikacją techniczną i wpłynęło to nie zadawalająco na jakość robót, to takie materiały i roboty nie mogą być zaakceptowane przez Zamawiającego. W takiej sytuacji elementy robót powinny być niezwłocznie rozebrane i zastąpione właściwymi na koszt Wykonawcy.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Zabezpieczenie placu budowy.</w:t>
      </w:r>
    </w:p>
    <w:p w:rsidR="008F59B3" w:rsidRPr="00AE4DA0" w:rsidRDefault="008F59B3" w:rsidP="00AE4DA0">
      <w:pPr>
        <w:pStyle w:val="Style7"/>
        <w:widowControl/>
        <w:tabs>
          <w:tab w:val="left" w:pos="567"/>
        </w:tabs>
        <w:jc w:val="both"/>
        <w:rPr>
          <w:rStyle w:val="FontStyle13"/>
          <w:rFonts w:ascii="Calibri" w:hAnsi="Calibri"/>
          <w:b w:val="0"/>
          <w:bCs w:val="0"/>
          <w:i/>
          <w:sz w:val="24"/>
          <w:szCs w:val="24"/>
        </w:rPr>
      </w:pPr>
      <w:r w:rsidRPr="00AE4DA0">
        <w:rPr>
          <w:rStyle w:val="FontStyle14"/>
          <w:rFonts w:ascii="Calibri" w:hAnsi="Calibri"/>
          <w:i/>
          <w:sz w:val="24"/>
          <w:szCs w:val="24"/>
        </w:rPr>
        <w:t xml:space="preserve">Wykonawca jest zobowiązany do zabezpieczenia terenu budowy na okres trwania realizacji zadania aż do zakończenia odbioru ostatecznego. Wykonawca dostarczy, zainstaluje i będzie </w:t>
      </w: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utrzymywać tymczasowe urządzenia zabezpieczające w tym: oświetlenie, wygrodzenie stref, tablice ostrzegawcze, dozór mienia i inne środki niezbędne do ochrony robót, ludzi i sprzętu. Koszt zabezpieczeń i dozorowania placu budowy nie podlega odrębnej zapłacie i przyjmuje się, że jest włączony w cenę za przedmiot umowy.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Ochrona środowiska w czasie wykonywania robót.</w:t>
      </w:r>
    </w:p>
    <w:p w:rsidR="008F59B3" w:rsidRPr="00AE4DA0" w:rsidRDefault="008F59B3" w:rsidP="00AE4DA0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Wykonawca ma obowiązek znać i stosować w czasie prowadzenia robót wszelkie przepisy dotyczące ochrony środowiska naturalnego. Powinien podjąć odpowiednie środki w celu zapewnienia ochrony środowiska przez cały czas trwania robót, w tym między innymi:</w:t>
      </w:r>
    </w:p>
    <w:p w:rsidR="008F59B3" w:rsidRPr="00AE4DA0" w:rsidRDefault="008F59B3" w:rsidP="00AE4DA0">
      <w:pPr>
        <w:pStyle w:val="Style4"/>
        <w:widowControl/>
        <w:tabs>
          <w:tab w:val="left" w:pos="567"/>
        </w:tabs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składy materiałów i magazyny będą zasłonięte przed widokiem publicznym oraz ulokowane w miejscu, z którego hałas nie przeniknie do lokalnego środowiska, Wykonawcy nie wolno używać żadnych materiałów posiadających wady (nowych lub z odzysku), które mogłyby stwarzać niebezpieczeństwo dla środowiska, wszystkie materiały muszą być stosowane zgodnie z zaleceniami producentów,</w:t>
      </w:r>
    </w:p>
    <w:p w:rsidR="008F59B3" w:rsidRPr="00AE4DA0" w:rsidRDefault="008F59B3" w:rsidP="00AE4DA0">
      <w:pPr>
        <w:pStyle w:val="Style4"/>
        <w:widowControl/>
        <w:tabs>
          <w:tab w:val="left" w:pos="567"/>
        </w:tabs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Wykonawca odpowiada całkowicie za usuwanie odpadów i śmieci ze wszystkich miejsc na placu budowy i z miejsc związanych z prowadzonymi robotami, przy czym zawsze musi ściśle przestrzegać przepisów miejscowych władz,</w:t>
      </w:r>
    </w:p>
    <w:p w:rsidR="008F59B3" w:rsidRPr="00AE4DA0" w:rsidRDefault="008F59B3" w:rsidP="00AE4DA0">
      <w:pPr>
        <w:pStyle w:val="Style4"/>
        <w:widowControl/>
        <w:tabs>
          <w:tab w:val="left" w:pos="567"/>
        </w:tabs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 trakcie realizacji robót Wykonawca winien nie dopuścić do zanieczyszczenia środowiska zarówno na placu budowy jak i w jego otoczeniu. Wykonawca winien zabezpieczyć wszelkie rodzaje odpadów wraz ze śmieciami, odpadami przemysłowymi i komunalnymi, a następnie przetransportować je na wysypisko śmieci, Opłaty i kary za przekroczenie norm (w trakcie realizacji) określonych odpowiednimi przepisami ochrony środowiska obciążają Wykonawcę robót. Wody gruntowe i powierzchniowe nie mogą być zanieczyszczone w czasie realizacji robót.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Ochrona przeciwpożarowa.</w:t>
      </w:r>
    </w:p>
    <w:p w:rsidR="008F59B3" w:rsidRPr="00AE4DA0" w:rsidRDefault="008F59B3" w:rsidP="00AE4DA0">
      <w:pPr>
        <w:pStyle w:val="Style4"/>
        <w:widowControl/>
        <w:tabs>
          <w:tab w:val="left" w:pos="567"/>
        </w:tabs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Wykonawca przestrzegać będzie przepisów ochrony przeciwpożarowej. Wykonawca będzie utrzymywać sprawny sprzęt przeciwpożarowy wymagany odpowiednimi przepisami na terenie zaplecza budowy, w pomieszczeniach socjalno-administracyjnych i magazynowych, w maszynach i pojazdach mechanicznych. Materiały łatwopalne będą składowane w sposób zgodny z odpowiednimi przepisami i zabezpieczone przed dostępem osób trzecich. Wykonawca będzie odpowiedzialny za wszelkie straty spowodowane pożarem wywołanym jako rezultat realizacji robót lub też przez pracowników Wykonawcy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Materiały szkodliwe dla otoczenia.</w:t>
      </w:r>
    </w:p>
    <w:p w:rsidR="008F59B3" w:rsidRPr="00AE4DA0" w:rsidRDefault="008F59B3" w:rsidP="00AE4DA0">
      <w:pPr>
        <w:pStyle w:val="Style4"/>
        <w:widowControl/>
        <w:tabs>
          <w:tab w:val="left" w:pos="567"/>
        </w:tabs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 xml:space="preserve">Materiały, które w sposób trwały są szkodliwe dla otoczenia, nie będą dopuszczone do użycia. Nie dopuszcza się materiałów wywołujących szkodliwe promieniowanie o </w:t>
      </w: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lastRenderedPageBreak/>
        <w:t>stężeniu większym od dopuszczalnego, określonego odpowiednimi przepisami. Wszelkie materiały odpadowe użyte do robót muszą mieć aprobatę techniczną wydaną przez uprawnioną jednostkę, jednoznacznie stwierdzającą brak szkodliwego oddziaływania materiału na środowisko.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Bezpieczeństwo i higiena pracy.</w:t>
      </w:r>
    </w:p>
    <w:p w:rsidR="008F59B3" w:rsidRPr="00AE4DA0" w:rsidRDefault="008F59B3" w:rsidP="00AE4DA0">
      <w:pPr>
        <w:pStyle w:val="Akapitzlist"/>
        <w:tabs>
          <w:tab w:val="left" w:pos="567"/>
        </w:tabs>
        <w:spacing w:before="120" w:after="120"/>
        <w:ind w:left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Fonts w:ascii="Calibri" w:hAnsi="Calibri"/>
          <w:bCs/>
          <w:i/>
          <w:color w:val="000000"/>
        </w:rPr>
        <w:t>Podczas realizacji robót Wykonawca powinien przestrzegać wszystkich przepisów bhp, aby personel nie wykonywał pracy w warunkach niebezpiecznych, szkodliwych dla zdrowia oraz nie spełniających odpowiednich wymagań sanitarnych. Wykonawca zapewni i będzie utrzymywał wszelkie urządzenia zabezpieczające, socjalne oraz sprzęt i odpowiednią odzież dla ochrony życia i zdrowia osób zatrudnionych na budowie oraz dla zapewnienia bezpieczeństwa publicznego. Uznaje się, że wszelkie koszty związane z wypełnieniem wymagań określonych powyżej nie podlegają oddzielnej zapłacie i są uwzględnione w cenie za przedmiot umowy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Ochrona i utrzymanie robót.</w:t>
      </w:r>
    </w:p>
    <w:p w:rsidR="008F59B3" w:rsidRPr="00AE4DA0" w:rsidRDefault="008F59B3" w:rsidP="00AE4DA0">
      <w:pPr>
        <w:pStyle w:val="Style14"/>
        <w:widowControl/>
        <w:tabs>
          <w:tab w:val="left" w:pos="216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Fonts w:ascii="Calibri" w:hAnsi="Calibri"/>
          <w:bCs/>
          <w:i/>
          <w:color w:val="000000"/>
        </w:rPr>
        <w:t>Wykonawca będzie odpowiedzialny za ochronę robót i za wszelkie materiały i urządzenia używane do robót od daty ich rozpoczęcia do daty wydania potwierdzenia zakończenia robót przez Zamawiającego. Wykonawca będzie utrzymywać roboty do czasu ostatecznego odbioru. Utrzymanie powinno być prowadzone w taki sposób, aby obiekty i budowle lub ich elementy były w zadawalającym stanie przez cały czas aż do momentu odbioru ostatecznego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Równoważność norm i przepisów prawnych.</w:t>
      </w:r>
    </w:p>
    <w:p w:rsidR="008F59B3" w:rsidRPr="00AE4DA0" w:rsidRDefault="008F59B3" w:rsidP="00AE4DA0">
      <w:pPr>
        <w:pStyle w:val="Style4"/>
        <w:widowControl/>
        <w:tabs>
          <w:tab w:val="left" w:pos="567"/>
        </w:tabs>
        <w:spacing w:before="120" w:after="120"/>
        <w:jc w:val="both"/>
        <w:rPr>
          <w:rStyle w:val="FontStyle22"/>
          <w:rFonts w:cs="Tahoma"/>
          <w:bCs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Gdziekolwiek powołane są konkretne normy lub przepisy, które spełniać mają materiały, sprzęt i inne dostarczone towary, oraz wykonane i zadane roboty, będą obowiązywać postanowienia najnowszego wydania lub poprawionego wydania norm i przepisów, o ile w dokumentach nie postanowiono inaczej mogą być również stosowane inne odpowiednie normy i przepisy.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Określenia podstawowe.</w:t>
      </w:r>
    </w:p>
    <w:p w:rsidR="008F59B3" w:rsidRPr="00AE4DA0" w:rsidRDefault="008F59B3" w:rsidP="00AE4DA0">
      <w:pPr>
        <w:pStyle w:val="Style14"/>
        <w:widowControl/>
        <w:tabs>
          <w:tab w:val="left" w:pos="216"/>
          <w:tab w:val="left" w:pos="567"/>
        </w:tabs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Fonts w:ascii="Calibri" w:hAnsi="Calibri"/>
          <w:bCs/>
          <w:i/>
          <w:color w:val="000000"/>
        </w:rPr>
        <w:t>Użyte w ST wymienione poniżej określenia należy rozumieć w każdym przypadku następująco: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clear" w:pos="131"/>
          <w:tab w:val="left" w:pos="567"/>
          <w:tab w:val="left" w:pos="709"/>
        </w:tabs>
        <w:spacing w:line="240" w:lineRule="auto"/>
        <w:ind w:left="0" w:firstLine="0"/>
        <w:jc w:val="both"/>
        <w:rPr>
          <w:rFonts w:ascii="Calibri" w:hAnsi="Calibri"/>
          <w:i/>
          <w:color w:val="000000"/>
        </w:rPr>
      </w:pPr>
      <w:r w:rsidRPr="001E1A70">
        <w:rPr>
          <w:rStyle w:val="FontStyle13"/>
          <w:rFonts w:ascii="Calibri" w:hAnsi="Calibri"/>
          <w:i/>
          <w:sz w:val="24"/>
          <w:szCs w:val="24"/>
        </w:rPr>
        <w:t>ST</w:t>
      </w: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 xml:space="preserve"> - </w:t>
      </w:r>
      <w:r w:rsidRPr="00AE4DA0">
        <w:rPr>
          <w:rStyle w:val="FontStyle16"/>
          <w:rFonts w:ascii="Calibri" w:hAnsi="Calibri"/>
          <w:i/>
          <w:sz w:val="24"/>
          <w:szCs w:val="24"/>
        </w:rPr>
        <w:t>Specyfikacja Techniczna Wykonania I Odbioru Robót Budowlanych</w:t>
      </w:r>
    </w:p>
    <w:p w:rsidR="008F59B3" w:rsidRPr="001E1A70" w:rsidRDefault="008F59B3" w:rsidP="00AE4DA0">
      <w:pPr>
        <w:pStyle w:val="Style14"/>
        <w:widowControl/>
        <w:numPr>
          <w:ilvl w:val="2"/>
          <w:numId w:val="16"/>
        </w:numPr>
        <w:tabs>
          <w:tab w:val="clear" w:pos="131"/>
          <w:tab w:val="left" w:pos="567"/>
          <w:tab w:val="left" w:pos="709"/>
        </w:tabs>
        <w:spacing w:line="240" w:lineRule="auto"/>
        <w:ind w:left="0" w:firstLine="0"/>
        <w:jc w:val="both"/>
        <w:rPr>
          <w:rStyle w:val="FontStyle13"/>
          <w:rFonts w:ascii="Calibri" w:hAnsi="Calibri"/>
          <w:b w:val="0"/>
          <w:bCs w:val="0"/>
          <w:i/>
          <w:sz w:val="24"/>
          <w:szCs w:val="24"/>
        </w:rPr>
      </w:pPr>
      <w:r w:rsidRPr="001E1A70">
        <w:rPr>
          <w:rFonts w:ascii="Calibri" w:hAnsi="Calibri"/>
          <w:b/>
          <w:i/>
          <w:color w:val="000000"/>
        </w:rPr>
        <w:t>OST</w:t>
      </w:r>
      <w:r w:rsidRPr="00AE4DA0">
        <w:rPr>
          <w:rFonts w:ascii="Calibri" w:hAnsi="Calibri"/>
          <w:i/>
          <w:color w:val="000000"/>
        </w:rPr>
        <w:t xml:space="preserve"> - ogólne specyfikacje techniczne, wydane przez Branżowy Zakład Doświadczalny Budownictwa Drogowego i Mostowego, Sp. z o.o.</w:t>
      </w: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 xml:space="preserve"> 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clear" w:pos="131"/>
          <w:tab w:val="left" w:pos="567"/>
          <w:tab w:val="left" w:pos="709"/>
        </w:tabs>
        <w:spacing w:line="240" w:lineRule="auto"/>
        <w:ind w:left="0" w:firstLine="0"/>
        <w:jc w:val="both"/>
        <w:rPr>
          <w:rStyle w:val="FontStyle13"/>
          <w:rFonts w:ascii="Calibri" w:hAnsi="Calibri"/>
          <w:b w:val="0"/>
          <w:bCs w:val="0"/>
          <w:i/>
          <w:sz w:val="24"/>
          <w:szCs w:val="24"/>
        </w:rPr>
      </w:pPr>
      <w:r w:rsidRPr="001E1A70">
        <w:rPr>
          <w:rStyle w:val="FontStyle13"/>
          <w:rFonts w:ascii="Calibri" w:hAnsi="Calibri"/>
          <w:bCs w:val="0"/>
          <w:i/>
          <w:sz w:val="24"/>
          <w:szCs w:val="24"/>
        </w:rPr>
        <w:t>SIWZ</w:t>
      </w:r>
      <w:r>
        <w:rPr>
          <w:rStyle w:val="FontStyle13"/>
          <w:rFonts w:ascii="Calibri" w:hAnsi="Calibri"/>
          <w:b w:val="0"/>
          <w:bCs w:val="0"/>
          <w:i/>
          <w:sz w:val="24"/>
          <w:szCs w:val="24"/>
        </w:rPr>
        <w:t xml:space="preserve"> – specyfikacja Istotnych Warunków Zamówienia</w:t>
      </w:r>
    </w:p>
    <w:p w:rsidR="008F59B3" w:rsidRPr="00AE4DA0" w:rsidRDefault="008F59B3" w:rsidP="00AE4DA0">
      <w:pPr>
        <w:pStyle w:val="Style14"/>
        <w:widowControl/>
        <w:numPr>
          <w:ilvl w:val="0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WYMAGANIA DOTYCZĄCE WŁAŚCIWOŚCI MATERIAŁÓW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Ogólne wymagania dotyczące materiałów, ich pozyskiwania.</w:t>
      </w:r>
    </w:p>
    <w:p w:rsidR="008F59B3" w:rsidRPr="00AE4DA0" w:rsidRDefault="008F59B3" w:rsidP="00AE4DA0">
      <w:pPr>
        <w:pStyle w:val="Style4"/>
        <w:widowControl/>
        <w:tabs>
          <w:tab w:val="left" w:pos="567"/>
        </w:tabs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Wykonawca robót jest odpowiedzialny za jakość ich wykonania oraz za ich zgodność z zakresem podanym w dokumentacji, przedmiarze i niniejszej ST. Wszystkie materiały stosowane przy wykonywaniu robót powinny być nowe, w gatunku bieżąco produkowanym oraz powinny mieć:</w:t>
      </w:r>
    </w:p>
    <w:p w:rsidR="008F59B3" w:rsidRPr="00AE4DA0" w:rsidRDefault="008F59B3" w:rsidP="001E1A70">
      <w:pPr>
        <w:pStyle w:val="Style3"/>
        <w:widowControl/>
        <w:numPr>
          <w:ilvl w:val="0"/>
          <w:numId w:val="18"/>
        </w:numPr>
        <w:spacing w:line="240" w:lineRule="auto"/>
        <w:ind w:left="284" w:hanging="284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 xml:space="preserve">oznakowanie znakiem CE oznaczające, że dokonano oceny ich zgodności ze zharmonizowaną normą europejską, wprowadzoną do zbioru Polskich Norm, z europejską aprobatą techniczną lub krajową specyfikacją techniczną państwa </w:t>
      </w: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lastRenderedPageBreak/>
        <w:t>członkowskiego Unii Europejskiej lub Obszaru Gospodarczego, uznanego przez Komisję Europejską za zgodną z wymaganiami podstawowymi, albo</w:t>
      </w:r>
    </w:p>
    <w:p w:rsidR="008F59B3" w:rsidRPr="00AE4DA0" w:rsidRDefault="008F59B3" w:rsidP="001E1A70">
      <w:pPr>
        <w:pStyle w:val="Style3"/>
        <w:widowControl/>
        <w:numPr>
          <w:ilvl w:val="0"/>
          <w:numId w:val="18"/>
        </w:numPr>
        <w:spacing w:line="240" w:lineRule="auto"/>
        <w:ind w:left="284" w:hanging="284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deklarację zgodności z uznanymi regułami sztuki budowlanej wydaną przez producenta, jeżeli dotyczy ona wyrobu umieszczonego w wykazie wyrobów mających niewielkie znaczenie dla zdrowia i bezpieczeństwa określonym przez Komisję Europejską, albo oznakowanie znakiem budowlanym oznaczające, że są to wyroby nie podlegające obowiązkowemu oznakowaniu CE, dla których dokonano oceny zgodności z Polską Normą lub aprobatą techniczną, bądź uznano za „regionalny wyrób budowlany".</w:t>
      </w:r>
    </w:p>
    <w:p w:rsidR="008F59B3" w:rsidRPr="00AE4DA0" w:rsidRDefault="008F59B3" w:rsidP="001E1A70">
      <w:pPr>
        <w:pStyle w:val="Style4"/>
        <w:widowControl/>
        <w:numPr>
          <w:ilvl w:val="0"/>
          <w:numId w:val="18"/>
        </w:numPr>
        <w:ind w:left="284" w:hanging="284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Dodatkowo oznakowanie powinno umożliwiać identyfikację producenta i typu wyrobu, kraju pochodzenia, daty produkcji.</w:t>
      </w:r>
    </w:p>
    <w:p w:rsidR="008F59B3" w:rsidRPr="00AE4DA0" w:rsidRDefault="008F59B3" w:rsidP="001E1A70">
      <w:pPr>
        <w:pStyle w:val="Style3"/>
        <w:widowControl/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Wykonawca ponosi pełną odpowiedzialność za jakość dostarczonych i wbudowanych materiałów. W przypadku, gdy dostarczone materiały lub wykonane roboty nie będą zgodne z warunkami podanymi w ST i będą miały wpływ na nie zadawalającą jakość elementu budowli, to takie materiały zostaną zastąpione innymi, a elementy budowli rozebrane i wykonane ponownie na koszt Wykonawcy.</w:t>
      </w:r>
    </w:p>
    <w:p w:rsidR="008F59B3" w:rsidRPr="00AE4DA0" w:rsidRDefault="008F59B3" w:rsidP="001E1A70">
      <w:pPr>
        <w:pStyle w:val="Style3"/>
        <w:widowControl/>
        <w:spacing w:line="240" w:lineRule="auto"/>
        <w:ind w:left="284"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  <w:u w:val="single"/>
        </w:rPr>
        <w:t>W przypadku, gdy w ST nie podano wymagań technicznych dla materiałów, elementów i wyrobów albo podano je w sposób ogólny, albo dokonuje się ich zmiany na inne niż określono w projekcie, należy każdorazowo dokonać odpowiednich uzgodnień z Zamawiającym</w:t>
      </w: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.</w:t>
      </w:r>
    </w:p>
    <w:p w:rsidR="008F59B3" w:rsidRPr="00AE4DA0" w:rsidRDefault="008F59B3" w:rsidP="00AE4DA0">
      <w:pPr>
        <w:pStyle w:val="Style3"/>
        <w:widowControl/>
        <w:tabs>
          <w:tab w:val="left" w:pos="567"/>
        </w:tabs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Wszystkie materiały przewidziane do użycia podczas budowy będą przed wbudowaniem podlegać kontroli. Materiały nie spełniające wymagań określonych w ST nie mogą zostać wykorzystane przy realizacji zamierzonego zadania.</w:t>
      </w:r>
    </w:p>
    <w:p w:rsidR="008F59B3" w:rsidRPr="00AE4DA0" w:rsidRDefault="008F59B3" w:rsidP="00AE4DA0">
      <w:pPr>
        <w:pStyle w:val="Style4"/>
        <w:widowControl/>
        <w:tabs>
          <w:tab w:val="left" w:pos="567"/>
        </w:tabs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Wykonawca przedstawi Inspektorowi nadzoru świadectwa zgodności poszczególnych dostaw materiałów z atestami, PN i Aprobatami Technicznymi.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 xml:space="preserve">Przechowywanie i składowanie materiałów. </w:t>
      </w:r>
    </w:p>
    <w:p w:rsidR="008F59B3" w:rsidRPr="00AE4DA0" w:rsidRDefault="008F59B3" w:rsidP="00AE4DA0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 xml:space="preserve">Wykonawca zapewni, aby tymczasowo składowane materiały, do ich wbudowania były zabezpieczone przed zanieczyszczeniem, zachowały swoją jakość i właściwość do robót. Miejsca czasowego składowania materiałów będą zlokalizowane w obrębie terenu budowy lub poza terenem budowy w miejscach zorganizowanych przez Wykonawcę. Wszystkie miejsca czasowego składowania materiałów i lokalizacji wytwórni powinny być po zakończeniu robót doprowadzone przez Wykonawcę do ich pierwotnego stanu, bez dodatkowych opłat ze strony Zamawiającego. 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 xml:space="preserve">Szczegółowe wymagania dla materiałów do wykonania robót:  </w:t>
      </w:r>
    </w:p>
    <w:p w:rsidR="008F59B3" w:rsidRPr="00AE4DA0" w:rsidRDefault="008F59B3" w:rsidP="00AE4DA0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Fonts w:ascii="Calibri" w:hAnsi="Calibri"/>
          <w:bCs/>
          <w:i/>
          <w:color w:val="000000"/>
        </w:rPr>
        <w:t>Wszystkie zastosowane materiały winny spełniać wymagania wg OST, wymienionych w punkcie 5, dla poszczególnych grup robót.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line="240" w:lineRule="auto"/>
        <w:ind w:left="0"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 xml:space="preserve">Betonowa kostka brukowa winna spełniać w szczególności następujące wymagania: </w:t>
      </w:r>
    </w:p>
    <w:p w:rsidR="008F59B3" w:rsidRPr="00AE4DA0" w:rsidRDefault="008F59B3" w:rsidP="001E1A70">
      <w:pPr>
        <w:pStyle w:val="Style2"/>
        <w:numPr>
          <w:ilvl w:val="0"/>
          <w:numId w:val="31"/>
        </w:numPr>
        <w:tabs>
          <w:tab w:val="left" w:pos="709"/>
        </w:tabs>
        <w:spacing w:line="240" w:lineRule="auto"/>
        <w:ind w:left="709" w:hanging="283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odmiana: kostka jednowarstwowa,</w:t>
      </w:r>
    </w:p>
    <w:p w:rsidR="008F59B3" w:rsidRPr="00AE4DA0" w:rsidRDefault="008F59B3" w:rsidP="001E1A70">
      <w:pPr>
        <w:pStyle w:val="Style2"/>
        <w:numPr>
          <w:ilvl w:val="0"/>
          <w:numId w:val="31"/>
        </w:numPr>
        <w:tabs>
          <w:tab w:val="left" w:pos="709"/>
        </w:tabs>
        <w:spacing w:line="240" w:lineRule="auto"/>
        <w:ind w:left="709" w:hanging="283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 xml:space="preserve">gatunek 1, </w:t>
      </w:r>
    </w:p>
    <w:p w:rsidR="008F59B3" w:rsidRPr="00AE4DA0" w:rsidRDefault="008F59B3" w:rsidP="001E1A70">
      <w:pPr>
        <w:pStyle w:val="Style2"/>
        <w:numPr>
          <w:ilvl w:val="0"/>
          <w:numId w:val="31"/>
        </w:numPr>
        <w:tabs>
          <w:tab w:val="left" w:pos="709"/>
        </w:tabs>
        <w:spacing w:line="240" w:lineRule="auto"/>
        <w:ind w:left="709" w:hanging="283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 xml:space="preserve">klasa: „50”, o wytrzymałości na ściskanie nie mniejszej niż 50 </w:t>
      </w:r>
      <w:proofErr w:type="spellStart"/>
      <w:r w:rsidRPr="00AE4DA0">
        <w:rPr>
          <w:rFonts w:ascii="Calibri" w:hAnsi="Calibri"/>
          <w:bCs/>
          <w:i/>
          <w:color w:val="000000"/>
        </w:rPr>
        <w:t>MPa</w:t>
      </w:r>
      <w:proofErr w:type="spellEnd"/>
      <w:r w:rsidRPr="00AE4DA0">
        <w:rPr>
          <w:rFonts w:ascii="Calibri" w:hAnsi="Calibri"/>
          <w:bCs/>
          <w:i/>
          <w:color w:val="000000"/>
        </w:rPr>
        <w:t>,</w:t>
      </w:r>
    </w:p>
    <w:p w:rsidR="008F59B3" w:rsidRPr="00AE4DA0" w:rsidRDefault="008F59B3" w:rsidP="001E1A70">
      <w:pPr>
        <w:pStyle w:val="Style2"/>
        <w:numPr>
          <w:ilvl w:val="0"/>
          <w:numId w:val="31"/>
        </w:numPr>
        <w:tabs>
          <w:tab w:val="left" w:pos="709"/>
        </w:tabs>
        <w:spacing w:line="240" w:lineRule="auto"/>
        <w:ind w:left="709" w:hanging="283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barwa:</w:t>
      </w:r>
    </w:p>
    <w:p w:rsidR="008F59B3" w:rsidRPr="00AE4DA0" w:rsidRDefault="008F59B3" w:rsidP="001E1A70">
      <w:pPr>
        <w:pStyle w:val="Style2"/>
        <w:numPr>
          <w:ilvl w:val="0"/>
          <w:numId w:val="32"/>
        </w:numPr>
        <w:tabs>
          <w:tab w:val="left" w:pos="709"/>
        </w:tabs>
        <w:spacing w:line="240" w:lineRule="auto"/>
        <w:ind w:left="709" w:hanging="283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kostka szara, z betonu niebarwionego,</w:t>
      </w:r>
    </w:p>
    <w:p w:rsidR="008F59B3" w:rsidRPr="00AE4DA0" w:rsidRDefault="008F59B3" w:rsidP="001E1A70">
      <w:pPr>
        <w:pStyle w:val="Style2"/>
        <w:numPr>
          <w:ilvl w:val="0"/>
          <w:numId w:val="32"/>
        </w:numPr>
        <w:tabs>
          <w:tab w:val="left" w:pos="709"/>
        </w:tabs>
        <w:spacing w:line="240" w:lineRule="auto"/>
        <w:ind w:left="709" w:hanging="283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kostka kolorowa, z betonu barwionego w kolorze kontrastującym (czarna lub czerwona) na oznakowanie poziome oraz wjazdy i chodniki</w:t>
      </w:r>
    </w:p>
    <w:p w:rsidR="008F59B3" w:rsidRPr="00AE4DA0" w:rsidRDefault="008F59B3" w:rsidP="001E1A70">
      <w:pPr>
        <w:pStyle w:val="Style2"/>
        <w:numPr>
          <w:ilvl w:val="0"/>
          <w:numId w:val="31"/>
        </w:numPr>
        <w:tabs>
          <w:tab w:val="left" w:pos="709"/>
        </w:tabs>
        <w:spacing w:line="240" w:lineRule="auto"/>
        <w:ind w:left="709" w:hanging="283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lastRenderedPageBreak/>
        <w:t>wzór BEHATON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Style w:val="FontStyle22"/>
          <w:rFonts w:cs="Tahoma"/>
          <w:sz w:val="24"/>
          <w:szCs w:val="24"/>
        </w:rPr>
        <w:t xml:space="preserve"> </w:t>
      </w:r>
      <w:r w:rsidRPr="00AE4DA0">
        <w:rPr>
          <w:rFonts w:ascii="Calibri" w:hAnsi="Calibri" w:cs="Times New Roman"/>
          <w:b/>
        </w:rPr>
        <w:t>Materiały nie odpowiadające wymaganiom</w:t>
      </w:r>
    </w:p>
    <w:p w:rsidR="008F59B3" w:rsidRPr="00AE4DA0" w:rsidRDefault="008F59B3" w:rsidP="00AE4DA0">
      <w:pPr>
        <w:pStyle w:val="Akapitzlist"/>
        <w:widowControl/>
        <w:tabs>
          <w:tab w:val="left" w:pos="567"/>
        </w:tabs>
        <w:overflowPunct w:val="0"/>
        <w:ind w:left="0"/>
        <w:jc w:val="both"/>
        <w:rPr>
          <w:rFonts w:ascii="Calibri" w:hAnsi="Calibri" w:cs="Times New Roman"/>
          <w:i/>
        </w:rPr>
      </w:pPr>
      <w:r w:rsidRPr="00AE4DA0">
        <w:rPr>
          <w:rFonts w:ascii="Calibri" w:hAnsi="Calibri" w:cs="Times New Roman"/>
          <w:i/>
        </w:rPr>
        <w:t xml:space="preserve">Materiały nie odpowiadające wymaganiom zostaną przez Wykonawcę wywiezione z terenu budowy  i złożone w miejscu wskazanym przez przedstawiciela Zamawiającego, </w:t>
      </w:r>
    </w:p>
    <w:p w:rsidR="008F59B3" w:rsidRPr="00AE4DA0" w:rsidRDefault="008F59B3" w:rsidP="00AE4DA0">
      <w:pPr>
        <w:pStyle w:val="Akapitzlist"/>
        <w:widowControl/>
        <w:tabs>
          <w:tab w:val="left" w:pos="567"/>
        </w:tabs>
        <w:overflowPunct w:val="0"/>
        <w:ind w:left="0"/>
        <w:jc w:val="both"/>
        <w:rPr>
          <w:rFonts w:ascii="Calibri" w:hAnsi="Calibri" w:cs="Times New Roman"/>
          <w:i/>
        </w:rPr>
      </w:pPr>
      <w:r w:rsidRPr="00AE4DA0">
        <w:rPr>
          <w:rFonts w:ascii="Calibri" w:hAnsi="Calibri" w:cs="Times New Roman"/>
          <w:i/>
        </w:rPr>
        <w:t>Każdy rodzaj robót, w którym znajdują się nie zbadane i nie zaakceptowane materiały, Wykonawca wykonuje na własne ryzyko, licząc się z jego nieprzyjęciem, usunięciem  i niezapłaceniem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 w:cs="Times New Roman"/>
          <w:b/>
        </w:rPr>
        <w:t>Wariantowe stosowanie materiałów</w:t>
      </w:r>
    </w:p>
    <w:p w:rsidR="008F59B3" w:rsidRPr="00AE4DA0" w:rsidRDefault="008F59B3" w:rsidP="00AE4DA0">
      <w:pPr>
        <w:widowControl/>
        <w:tabs>
          <w:tab w:val="left" w:pos="567"/>
        </w:tabs>
        <w:overflowPunct w:val="0"/>
        <w:jc w:val="both"/>
        <w:rPr>
          <w:rFonts w:ascii="Calibri" w:hAnsi="Calibri" w:cs="Times New Roman"/>
          <w:i/>
        </w:rPr>
      </w:pPr>
      <w:r w:rsidRPr="00AE4DA0">
        <w:rPr>
          <w:rFonts w:ascii="Calibri" w:hAnsi="Calibri" w:cs="Times New Roman"/>
          <w:i/>
        </w:rPr>
        <w:t>Jeśli dokumentacja projektowa lub SIWZ przewidują możliwość wariantowego zastosowania rodzaju materiału w wykonywanych robotach, Wykonawca powiadomi Zawiadamiającego o swoim zamiarze co najmniej 3 tygodnie przed użyciem tego materiału. Wybrany i zaakceptowany rodzaj materiału nie może być później zmieniany bez zgody Zamawiającego.</w:t>
      </w:r>
    </w:p>
    <w:p w:rsidR="008F59B3" w:rsidRPr="00AE4DA0" w:rsidRDefault="008F59B3" w:rsidP="00AE4DA0">
      <w:pPr>
        <w:pStyle w:val="Style14"/>
        <w:widowControl/>
        <w:tabs>
          <w:tab w:val="left" w:pos="216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</w:p>
    <w:p w:rsidR="008F59B3" w:rsidRPr="00AE4DA0" w:rsidRDefault="008F59B3" w:rsidP="00AE4DA0">
      <w:pPr>
        <w:pStyle w:val="Style14"/>
        <w:widowControl/>
        <w:numPr>
          <w:ilvl w:val="0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 xml:space="preserve">WYMAGANIA DOTYCZĄCE SPRZĘTU I MASZYN 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 xml:space="preserve">Ogólne wymagania dotyczące sprzętu i maszyn, </w:t>
      </w:r>
    </w:p>
    <w:p w:rsidR="008F59B3" w:rsidRPr="00AE4DA0" w:rsidRDefault="008F59B3" w:rsidP="00AE4DA0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Wykonawca zobowiązany jest do użycia takiego sprzętu, który nie spowoduje niekorzystnego wpływu na jakość wykonywanych robót. Liczba i wydajność sprzętu będzie gwarantować prowadzenie robót zgodnie z zasadami określonymi w warunkach umowy. Sprzęt będący własnością Wykonawcy lub wynajęty do wykonywania robót ma być utrzymany w dobrym stanie technicznym i gotowości do pracy. Będzie on zgodny z normami ochrony środowiska, przepisami dotyczącymi jego użytkowania oraz przepisami BHP.</w:t>
      </w:r>
    </w:p>
    <w:p w:rsidR="008F59B3" w:rsidRPr="00AE4DA0" w:rsidRDefault="008F59B3" w:rsidP="00AE4DA0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Wykonawca dostarczy Zamawiającemu kopię dokumentów potwierdzających dopuszczenie sprzętu do użytkowania, tam gdzie jest to wymagane przepisami.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Sprzęt użyty do wykonania robót.</w:t>
      </w:r>
    </w:p>
    <w:p w:rsidR="008F59B3" w:rsidRPr="00AE4DA0" w:rsidRDefault="008F59B3" w:rsidP="00AE4DA0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3"/>
          <w:rFonts w:ascii="Calibri" w:hAnsi="Calibri"/>
          <w:b w:val="0"/>
          <w:i/>
          <w:sz w:val="24"/>
          <w:szCs w:val="24"/>
        </w:rPr>
        <w:t>Roboty budowlane prowadzić przy użyciu ogólnie dostępnego sprzętu jak narzędzia podstawowe oraz specjalistyczne odpowiednie dla poszczególnych robót:</w:t>
      </w:r>
    </w:p>
    <w:p w:rsidR="008F59B3" w:rsidRPr="00AE4DA0" w:rsidRDefault="008F59B3" w:rsidP="00AE4DA0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3"/>
          <w:rFonts w:ascii="Calibri" w:hAnsi="Calibri"/>
          <w:b w:val="0"/>
          <w:i/>
          <w:sz w:val="24"/>
          <w:szCs w:val="24"/>
        </w:rPr>
      </w:pPr>
    </w:p>
    <w:p w:rsidR="008F59B3" w:rsidRPr="00AE4DA0" w:rsidRDefault="008F59B3" w:rsidP="00AE4DA0">
      <w:pPr>
        <w:pStyle w:val="Style14"/>
        <w:widowControl/>
        <w:numPr>
          <w:ilvl w:val="0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WYMAGANIA DOTYCZĄCE ŚRODKÓW TRANSPORTU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Ogólne wymagania dotyczące środków transportu.</w:t>
      </w:r>
    </w:p>
    <w:p w:rsidR="008F59B3" w:rsidRDefault="008F59B3" w:rsidP="00AE4DA0">
      <w:pPr>
        <w:pStyle w:val="Style14"/>
        <w:widowControl/>
        <w:tabs>
          <w:tab w:val="left" w:pos="216"/>
          <w:tab w:val="left" w:pos="567"/>
        </w:tabs>
        <w:spacing w:before="120" w:after="120"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Wykonawca jest zobowiązany do stosowania jedynie takich środków transportu, które nie wpływają niekorzystnie na jakość wykonywanych robót i właściwości przewożonych materiałów. Liczba środków transportu będzie zapewniać prowadzenie robót w terminie przewidzianym umową. Przy ruchu po drogach publicznych pojazdy będą spełniać wymagania dotyczące przepisów ruchu drogowego. Wykonawca będzie na bieżąco i na własny koszt usuwać wszelkie zanieczyszczenia spowodowane jego pojazdami na drogach publicznych i dojazdach do budowy</w:t>
      </w:r>
    </w:p>
    <w:p w:rsidR="008F59B3" w:rsidRPr="00AE4DA0" w:rsidRDefault="008F59B3" w:rsidP="00AE4DA0">
      <w:pPr>
        <w:pStyle w:val="Style14"/>
        <w:widowControl/>
        <w:tabs>
          <w:tab w:val="left" w:pos="216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</w:p>
    <w:p w:rsidR="008F59B3" w:rsidRPr="00AE4DA0" w:rsidRDefault="008F59B3" w:rsidP="00AE4DA0">
      <w:pPr>
        <w:pStyle w:val="Style14"/>
        <w:widowControl/>
        <w:numPr>
          <w:ilvl w:val="0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WYMAGANIA DOTYCZĄCE WYKONANIA ROBÓT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lastRenderedPageBreak/>
        <w:t>Ogólne zasady wykonywania robót.</w:t>
      </w:r>
    </w:p>
    <w:p w:rsidR="008F59B3" w:rsidRPr="00AE4DA0" w:rsidRDefault="008F59B3" w:rsidP="00AE4DA0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Wykonawca jest odpowiedzialny za prowadzenie robót zgodnie z warunkami umowy oraz za jakość zastosowanych materiałów i wykonywanych robót, za ich zgodność z wymaganiami specyfikacji technicznej.</w:t>
      </w:r>
    </w:p>
    <w:p w:rsidR="008F59B3" w:rsidRPr="00AE4DA0" w:rsidRDefault="008F59B3" w:rsidP="00AE4DA0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Roboty należy wykonywać przy warunkach otoczenia określonych w PN i zgodnie z instrukcją producenta. W przypadku konieczności wykonywania robót w innych warunkach urządzenia należy zabezpieczyć przed niekorzystnymi wpływami atmosferycznymi.</w:t>
      </w:r>
    </w:p>
    <w:p w:rsidR="008F59B3" w:rsidRPr="00AE4DA0" w:rsidRDefault="008F59B3" w:rsidP="00AE4DA0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 xml:space="preserve">Robotami mogą kierować osoby posiadające odpowiednie kwalifikacje zawodowe - posiadają uprawnienia budowlane do kierowania robotami, określające rodzaj robót w danej specjalności budowlanej, są członkami Izby Inżynierów Budownictwa, posiadają aktualne ubezpieczenie OC, oraz aktualne zaświadczenie o ukończeniu szkolenia </w:t>
      </w:r>
      <w:proofErr w:type="spellStart"/>
      <w:r w:rsidRPr="00AE4DA0">
        <w:rPr>
          <w:rFonts w:ascii="Calibri" w:hAnsi="Calibri"/>
          <w:bCs/>
          <w:i/>
          <w:color w:val="000000"/>
        </w:rPr>
        <w:t>bhp</w:t>
      </w:r>
      <w:proofErr w:type="spellEnd"/>
      <w:r w:rsidRPr="00AE4DA0">
        <w:rPr>
          <w:rFonts w:ascii="Calibri" w:hAnsi="Calibri"/>
          <w:bCs/>
          <w:i/>
          <w:color w:val="000000"/>
        </w:rPr>
        <w:t>.</w:t>
      </w:r>
    </w:p>
    <w:p w:rsidR="008F59B3" w:rsidRPr="00AE4DA0" w:rsidRDefault="008F59B3" w:rsidP="00AE4DA0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Pracownicy wykonujący prace budowlane muszą posiadać odpowiednie kwalifikacje zawodowe potwierdzone świadectwem lub dyplomem szkoły lub uczelni kształcącej w danej specjalności budowlanej oraz aktualne zaświadczenie o ukończeniu szkolenia bhp i aktualne zaświadczenie lekarskie zezwalające na pracę.</w:t>
      </w:r>
    </w:p>
    <w:p w:rsidR="008F59B3" w:rsidRPr="00AE4DA0" w:rsidRDefault="008F59B3" w:rsidP="00AE4DA0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Wszelkie czynności niezbędne do wykonania i wykończenia robót oraz usunięcia wad powinny być przeprowadzone w taki sposób aby w granicach wynikających z konieczności wypełnienia zobowiązań umowy nie zakłócać więcej niż to konieczne warunków pracy Urzędu Pocztowego oraz dostępu klientów.</w:t>
      </w:r>
    </w:p>
    <w:p w:rsidR="008F59B3" w:rsidRPr="00AE4DA0" w:rsidRDefault="008F59B3" w:rsidP="00AE4DA0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Następstwa jakiegokolwiek błędu spowodowanego przez Wykonawcę w wytyczeniu i wyznaczeniu robót zostaną, jeśli wymagać tego będzie Zamawiający, poprawione przez Wykonawcą na własny koszt. Sprawdzenie wytyczenia i wyznaczenia robót przez Zamawiającego nie zwalnia Wykonawcy od odpowiedzialności za ich prawidłowość.</w:t>
      </w:r>
    </w:p>
    <w:p w:rsidR="008F59B3" w:rsidRPr="00AE4DA0" w:rsidRDefault="008F59B3" w:rsidP="00AE4DA0">
      <w:pPr>
        <w:pStyle w:val="Style14"/>
        <w:widowControl/>
        <w:numPr>
          <w:ilvl w:val="2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Współpraca Zamawiającego i Wykonawcy.</w:t>
      </w:r>
    </w:p>
    <w:p w:rsidR="008F59B3" w:rsidRPr="00AE4DA0" w:rsidRDefault="008F59B3" w:rsidP="00AE4DA0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Zamawiający będzie podejmował decyzje w sprawach związanych z interpretacją Specyfikacji Technicznej oraz dotyczących akceptacji wypełniania warunków umowy przez Wykonawcę. Jest on również upoważniony do kontroli wszystkich robót i kontroli materiałów dostarczonych na budowę lub na niej produkowanych. Zamawiający powiadomi Wykonawcę o wykrytych wadach i odrzuci wszystkie te materiały i roboty, które nie spełniają wymagań jakościowych określonych w specyfikacji technicznej. Polecenia Zamawiającego powinny być wykonywane nie później niż w czasie przez niego wyznaczonym, po ich otrzymaniu pod groźbą wstrzymania robót. Skutki z tego tytułu ponosi Wykonawca.</w:t>
      </w:r>
    </w:p>
    <w:p w:rsidR="008F59B3" w:rsidRPr="00AE4DA0" w:rsidRDefault="008F59B3" w:rsidP="00AE4DA0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/>
          <w:b/>
        </w:rPr>
        <w:t xml:space="preserve">Roboty przygotowawcze </w:t>
      </w:r>
    </w:p>
    <w:p w:rsidR="008F59B3" w:rsidRPr="00AE4DA0" w:rsidRDefault="008F59B3" w:rsidP="00F53D23">
      <w:pPr>
        <w:jc w:val="both"/>
        <w:rPr>
          <w:rFonts w:ascii="Calibri" w:hAnsi="Calibri"/>
          <w:color w:val="000000"/>
        </w:rPr>
      </w:pPr>
      <w:r w:rsidRPr="00AE4DA0">
        <w:rPr>
          <w:rFonts w:ascii="Calibri" w:hAnsi="Calibri"/>
        </w:rPr>
        <w:t>Roboty przygotowawcze - odtworzenie trasy,  zdjęcie warstwy humusu oraz inne elementy robót przygotowawczych, które mogą wystąpić przy budowie parkingów i zatok, należy wykonywać zgodnie z wymaganiami podanymi w OST D-01.00.00 „Roboty przygotowawcze”.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/>
          <w:b/>
        </w:rPr>
        <w:t>Roboty ziemne</w:t>
      </w:r>
    </w:p>
    <w:p w:rsidR="008F59B3" w:rsidRPr="00AE4DA0" w:rsidRDefault="008F59B3" w:rsidP="00F53D23">
      <w:pPr>
        <w:tabs>
          <w:tab w:val="left" w:pos="567"/>
        </w:tabs>
        <w:autoSpaceDE/>
        <w:autoSpaceDN/>
        <w:adjustRightInd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ab/>
        <w:t>Roboty ziemne w wykopach należy wykonywać zgodnie z wymaganiami podanymi w OST D-02.01.01 „Wykonanie wykopów w gruntach I - V kat.”.</w:t>
      </w:r>
    </w:p>
    <w:p w:rsidR="008F59B3" w:rsidRPr="00AE4DA0" w:rsidRDefault="008F59B3" w:rsidP="00F53D23">
      <w:pPr>
        <w:tabs>
          <w:tab w:val="left" w:pos="567"/>
        </w:tabs>
        <w:autoSpaceDE/>
        <w:autoSpaceDN/>
        <w:adjustRightInd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ab/>
        <w:t xml:space="preserve">Roboty ziemne w nasypach należy wykonywać zgodnie z wymaganiami </w:t>
      </w:r>
      <w:r w:rsidRPr="00AE4DA0">
        <w:rPr>
          <w:rFonts w:ascii="Calibri" w:hAnsi="Calibri"/>
          <w:i/>
        </w:rPr>
        <w:lastRenderedPageBreak/>
        <w:t>podanymi w OST D-02.03.01 „Wykonanie nasypów”.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/>
          <w:b/>
        </w:rPr>
        <w:t>Podłoże</w:t>
      </w:r>
    </w:p>
    <w:p w:rsidR="008F59B3" w:rsidRPr="00AE4DA0" w:rsidRDefault="008F59B3" w:rsidP="00F53D23">
      <w:pPr>
        <w:pStyle w:val="Akapitzlist"/>
        <w:tabs>
          <w:tab w:val="left" w:pos="567"/>
        </w:tabs>
        <w:autoSpaceDE/>
        <w:autoSpaceDN/>
        <w:adjustRightInd/>
        <w:spacing w:after="200"/>
        <w:ind w:left="0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ab/>
        <w:t>Podłoże pod wykonanie konstrukcji nawierzchni parkingów i zatok powinno być przygotowane zgodnie z wymaganiami podanymi w OST D-04.01.01 „Koryto wraz z profilowaniem i zagęszczaniem podłoża”.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/>
          <w:b/>
        </w:rPr>
        <w:t xml:space="preserve">Podsypka cementowo-piaskowa </w:t>
      </w:r>
    </w:p>
    <w:p w:rsidR="008F59B3" w:rsidRPr="00AE4DA0" w:rsidRDefault="008F59B3" w:rsidP="00F53D23">
      <w:pPr>
        <w:pStyle w:val="Akapitzlist"/>
        <w:tabs>
          <w:tab w:val="left" w:pos="567"/>
        </w:tabs>
        <w:autoSpaceDE/>
        <w:autoSpaceDN/>
        <w:adjustRightInd/>
        <w:spacing w:after="200"/>
        <w:ind w:left="0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 xml:space="preserve">Przy wykonywaniu parkingu, podsypka cementowo-piaskowa może być stosowana pod ułożenie nawierzchni z kostki betonowej oraz pod ustawienie krawężników betonowych na ławie betonowej z oporem. Zastosowanie podsypki i jej grubość powinny być zgodne z dokumentacją projektową. Wytrzymałość na ściskanie podsypki cementowo-piaskowej po 7 dniach próbek walcowych o średnicy 8 cm powinna wynosić co najmniej 10 </w:t>
      </w:r>
      <w:proofErr w:type="spellStart"/>
      <w:r w:rsidRPr="00AE4DA0">
        <w:rPr>
          <w:rFonts w:ascii="Calibri" w:hAnsi="Calibri"/>
          <w:i/>
        </w:rPr>
        <w:t>MPa</w:t>
      </w:r>
      <w:proofErr w:type="spellEnd"/>
      <w:r w:rsidRPr="00AE4DA0">
        <w:rPr>
          <w:rFonts w:ascii="Calibri" w:hAnsi="Calibri"/>
          <w:i/>
        </w:rPr>
        <w:t xml:space="preserve">, a po 28 dniach 14 </w:t>
      </w:r>
      <w:proofErr w:type="spellStart"/>
      <w:r w:rsidRPr="00AE4DA0">
        <w:rPr>
          <w:rFonts w:ascii="Calibri" w:hAnsi="Calibri"/>
          <w:i/>
        </w:rPr>
        <w:t>MPa</w:t>
      </w:r>
      <w:proofErr w:type="spellEnd"/>
      <w:r w:rsidRPr="00AE4DA0">
        <w:rPr>
          <w:rFonts w:ascii="Calibri" w:hAnsi="Calibri"/>
          <w:i/>
        </w:rPr>
        <w:t>.</w:t>
      </w:r>
    </w:p>
    <w:p w:rsidR="008F59B3" w:rsidRPr="00AE4DA0" w:rsidRDefault="008F59B3" w:rsidP="00F53D23">
      <w:pPr>
        <w:pStyle w:val="Akapitzlist"/>
        <w:tabs>
          <w:tab w:val="left" w:pos="567"/>
        </w:tabs>
        <w:autoSpaceDE/>
        <w:autoSpaceDN/>
        <w:adjustRightInd/>
        <w:spacing w:after="200"/>
        <w:ind w:left="0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>Mieszanie podsypki powinno się odbywać w betoniarkach.</w:t>
      </w:r>
    </w:p>
    <w:p w:rsidR="008F59B3" w:rsidRPr="00AE4DA0" w:rsidRDefault="008F59B3" w:rsidP="00F53D23">
      <w:pPr>
        <w:pStyle w:val="Akapitzlist"/>
        <w:tabs>
          <w:tab w:val="left" w:pos="567"/>
        </w:tabs>
        <w:autoSpaceDE/>
        <w:autoSpaceDN/>
        <w:adjustRightInd/>
        <w:spacing w:after="200"/>
        <w:ind w:left="0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>Podsypka powinna być rozścielona i wyrównana do profilu zgodnie z dokumentacją projektową.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/>
          <w:b/>
        </w:rPr>
        <w:t>Krawężniki, obrzeża i chodniki</w:t>
      </w:r>
    </w:p>
    <w:p w:rsidR="008F59B3" w:rsidRPr="00AE4DA0" w:rsidRDefault="008F59B3" w:rsidP="00F53D23">
      <w:pPr>
        <w:tabs>
          <w:tab w:val="left" w:pos="567"/>
        </w:tabs>
        <w:autoSpaceDE/>
        <w:autoSpaceDN/>
        <w:adjustRightInd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ab/>
        <w:t>Ustawienie krawężników i obrzeży oraz ułożenie płyt chodnikowych powinno być zgodne z dokumentacją projektową, wskazaniami Inżyniera oraz wymaganiami wg odpowiednich OST:</w:t>
      </w:r>
    </w:p>
    <w:p w:rsidR="008F59B3" w:rsidRPr="00AE4DA0" w:rsidRDefault="008F59B3" w:rsidP="00F53D23">
      <w:pPr>
        <w:widowControl/>
        <w:tabs>
          <w:tab w:val="left" w:pos="567"/>
        </w:tabs>
        <w:autoSpaceDE/>
        <w:autoSpaceDN/>
        <w:adjustRightInd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>D-08.01.01 „Krawężniki betonowe”,</w:t>
      </w:r>
    </w:p>
    <w:p w:rsidR="008F59B3" w:rsidRPr="00AE4DA0" w:rsidRDefault="008F59B3" w:rsidP="00F53D23">
      <w:pPr>
        <w:widowControl/>
        <w:tabs>
          <w:tab w:val="left" w:pos="567"/>
        </w:tabs>
        <w:autoSpaceDE/>
        <w:autoSpaceDN/>
        <w:adjustRightInd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>D-08.03.01 „Obrzeża betonowe”,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/>
          <w:b/>
        </w:rPr>
        <w:t>Odwodnienie</w:t>
      </w:r>
    </w:p>
    <w:p w:rsidR="008F59B3" w:rsidRPr="00AE4DA0" w:rsidRDefault="008F59B3" w:rsidP="00F53D23">
      <w:pPr>
        <w:pStyle w:val="Akapitzlist"/>
        <w:tabs>
          <w:tab w:val="left" w:pos="567"/>
        </w:tabs>
        <w:autoSpaceDE/>
        <w:autoSpaceDN/>
        <w:adjustRightInd/>
        <w:spacing w:after="200"/>
        <w:ind w:left="0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>Wykonanie elementów odwodnienia przy budowie parkingów i zatok, warunki wykonania powinny być zgodne z poszczególnymi ogólnymi specyfikacjami według OST D-03.00.00 „Odwodnienie korpusu drogowego”.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/>
          <w:i/>
          <w:color w:val="000000"/>
        </w:rPr>
        <w:t xml:space="preserve"> </w:t>
      </w:r>
      <w:r w:rsidRPr="00AE4DA0">
        <w:rPr>
          <w:rFonts w:ascii="Calibri" w:hAnsi="Calibri"/>
          <w:b/>
        </w:rPr>
        <w:t>Wykonanie podbudowy</w:t>
      </w:r>
    </w:p>
    <w:p w:rsidR="008F59B3" w:rsidRPr="00AE4DA0" w:rsidRDefault="008F59B3" w:rsidP="00F53D23">
      <w:pPr>
        <w:tabs>
          <w:tab w:val="left" w:pos="567"/>
        </w:tabs>
        <w:autoSpaceDE/>
        <w:autoSpaceDN/>
        <w:adjustRightInd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ab/>
        <w:t>Koryto wraz z profilowaniem i zagęszczeniem podłoża przeznaczonego do ułożenia konstrukcji nawierzchni parkingów i zatok, należy wykonywać wg OST D-04.01.01 „Koryto wraz z profilowaniem i zagęszczaniem podłoża”.</w:t>
      </w:r>
    </w:p>
    <w:p w:rsidR="008F59B3" w:rsidRPr="00AE4DA0" w:rsidRDefault="008F59B3" w:rsidP="00F53D23">
      <w:pPr>
        <w:tabs>
          <w:tab w:val="left" w:pos="567"/>
        </w:tabs>
        <w:autoSpaceDE/>
        <w:autoSpaceDN/>
        <w:adjustRightInd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ab/>
        <w:t>Podbudowę z gruntu stabilizowanego cementem należy wykonywać wg OST D-04.05.01 „Podbudowa z gruntu lub kruszywa stabilizowanego cementem”, a z chudego betonu wg OST D-04.06.00 „Podbudowa z chudego betonu”.</w:t>
      </w:r>
    </w:p>
    <w:p w:rsidR="008F59B3" w:rsidRPr="00AE4DA0" w:rsidRDefault="008F59B3" w:rsidP="00F53D23">
      <w:pPr>
        <w:tabs>
          <w:tab w:val="left" w:pos="567"/>
        </w:tabs>
        <w:autoSpaceDE/>
        <w:autoSpaceDN/>
        <w:adjustRightInd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>Podbudowy z kruszyw stabilizowanych mechanicznie, należy wykonywać zgodnie z wymaganiami podanymi w OST D-04.04.01 „Podbudowa z kruszywa naturalnego” oraz OST D-04.04.02 „Podbudowa z kruszywa łamanego”.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/>
          <w:b/>
        </w:rPr>
        <w:t>Wykonanie nawierzchni</w:t>
      </w:r>
    </w:p>
    <w:p w:rsidR="008F59B3" w:rsidRPr="00AE4DA0" w:rsidRDefault="008F59B3" w:rsidP="00F53D23">
      <w:pPr>
        <w:tabs>
          <w:tab w:val="left" w:pos="567"/>
        </w:tabs>
        <w:spacing w:after="200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 xml:space="preserve">Nawierzchnie stosowane na parkingach i zatokach powinny być wykonywane zgodnie z wymaganiami podanymi w OST </w:t>
      </w:r>
      <w:r w:rsidRPr="001E1A70">
        <w:rPr>
          <w:rFonts w:ascii="Calibri" w:hAnsi="Calibri"/>
          <w:bCs/>
          <w:i/>
        </w:rPr>
        <w:t>D-05.03.23a</w:t>
      </w:r>
      <w:r w:rsidRPr="00AE4DA0">
        <w:rPr>
          <w:rFonts w:ascii="Calibri" w:hAnsi="Calibri"/>
          <w:i/>
        </w:rPr>
        <w:t xml:space="preserve"> Nawierzchnia z betonowej kostki brukowej dla dróg i ulic lokalnych oraz placów i chodników</w:t>
      </w:r>
      <w:r>
        <w:rPr>
          <w:rFonts w:ascii="Calibri" w:hAnsi="Calibri"/>
          <w:i/>
        </w:rPr>
        <w:t>. Oznakowanie poziome należy wykonać w kostki czarnej lub czerwonej.</w:t>
      </w:r>
      <w:r w:rsidRPr="00AE4DA0">
        <w:rPr>
          <w:rFonts w:ascii="Calibri" w:hAnsi="Calibri"/>
          <w:i/>
        </w:rPr>
        <w:t xml:space="preserve"> 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Fonts w:ascii="Calibri" w:hAnsi="Calibri"/>
          <w:b/>
          <w:color w:val="000000"/>
        </w:rPr>
      </w:pPr>
      <w:r w:rsidRPr="00AE4DA0">
        <w:rPr>
          <w:rFonts w:ascii="Calibri" w:hAnsi="Calibri"/>
          <w:b/>
        </w:rPr>
        <w:t>Roboty wykończeniowe</w:t>
      </w:r>
    </w:p>
    <w:p w:rsidR="008F59B3" w:rsidRDefault="008F59B3" w:rsidP="00F53D23">
      <w:pPr>
        <w:pStyle w:val="Akapitzlist"/>
        <w:tabs>
          <w:tab w:val="left" w:pos="567"/>
        </w:tabs>
        <w:autoSpaceDE/>
        <w:autoSpaceDN/>
        <w:adjustRightInd/>
        <w:spacing w:after="200"/>
        <w:ind w:left="0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lastRenderedPageBreak/>
        <w:t>Umocnienie skarp parkingów i zatok przez humusowanie, obsianie i darniowanie, należy wykonywać zgodnie z OST D-06.01.01 „Umocnienie skarp i rowów przez humusowanie, obsianie, darniowanie”.</w:t>
      </w:r>
    </w:p>
    <w:p w:rsidR="008F59B3" w:rsidRPr="00AE4DA0" w:rsidRDefault="008F59B3" w:rsidP="00F53D23">
      <w:pPr>
        <w:pStyle w:val="Akapitzlist"/>
        <w:tabs>
          <w:tab w:val="left" w:pos="567"/>
        </w:tabs>
        <w:autoSpaceDE/>
        <w:autoSpaceDN/>
        <w:adjustRightInd/>
        <w:spacing w:after="200"/>
        <w:ind w:left="0"/>
        <w:jc w:val="both"/>
        <w:rPr>
          <w:rFonts w:ascii="Calibri" w:hAnsi="Calibri"/>
          <w:i/>
        </w:rPr>
      </w:pPr>
    </w:p>
    <w:p w:rsidR="008F59B3" w:rsidRDefault="008F59B3" w:rsidP="005320EA">
      <w:pPr>
        <w:pStyle w:val="Akapitzlist"/>
        <w:numPr>
          <w:ilvl w:val="1"/>
          <w:numId w:val="16"/>
        </w:numPr>
        <w:tabs>
          <w:tab w:val="clear" w:pos="1418"/>
          <w:tab w:val="num" w:pos="426"/>
          <w:tab w:val="left" w:pos="567"/>
        </w:tabs>
        <w:autoSpaceDE/>
        <w:autoSpaceDN/>
        <w:adjustRightInd/>
        <w:spacing w:before="120" w:after="120"/>
        <w:ind w:left="0" w:firstLine="0"/>
        <w:jc w:val="both"/>
        <w:rPr>
          <w:rFonts w:ascii="Calibri" w:hAnsi="Calibri"/>
          <w:b/>
        </w:rPr>
      </w:pPr>
      <w:r w:rsidRPr="005320EA">
        <w:rPr>
          <w:rFonts w:ascii="Calibri" w:hAnsi="Calibri"/>
          <w:b/>
        </w:rPr>
        <w:t>Oznakowanie poziome i pionowe</w:t>
      </w:r>
    </w:p>
    <w:p w:rsidR="008F59B3" w:rsidRDefault="008F59B3" w:rsidP="005320EA">
      <w:pPr>
        <w:pStyle w:val="Akapitzlist"/>
        <w:tabs>
          <w:tab w:val="left" w:pos="567"/>
        </w:tabs>
        <w:autoSpaceDE/>
        <w:autoSpaceDN/>
        <w:adjustRightInd/>
        <w:spacing w:after="200"/>
        <w:ind w:left="360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>Oznakowanie poziome i pionowe, powinno być wykonane zgodnie z dokumentacją projektową i odpowiednimi OST: D-07.01.01 „Oznakowanie poziome” i D-07.02.01 „Oznakowanie pionowe”. Oznakowanie poziome parkingów należy wykonać z kostki brukowej w kolorze kontrastującym.</w:t>
      </w:r>
    </w:p>
    <w:p w:rsidR="008F59B3" w:rsidRDefault="008F59B3" w:rsidP="005320EA">
      <w:pPr>
        <w:pStyle w:val="Akapitzlist"/>
        <w:tabs>
          <w:tab w:val="left" w:pos="567"/>
        </w:tabs>
        <w:autoSpaceDE/>
        <w:autoSpaceDN/>
        <w:adjustRightInd/>
        <w:spacing w:before="120" w:after="120"/>
        <w:ind w:left="0"/>
        <w:jc w:val="both"/>
        <w:rPr>
          <w:rFonts w:ascii="Calibri" w:hAnsi="Calibri"/>
          <w:b/>
        </w:rPr>
      </w:pPr>
    </w:p>
    <w:p w:rsidR="008F59B3" w:rsidRDefault="008F59B3" w:rsidP="005320EA">
      <w:pPr>
        <w:pStyle w:val="Akapitzlist"/>
        <w:tabs>
          <w:tab w:val="left" w:pos="567"/>
        </w:tabs>
        <w:autoSpaceDE/>
        <w:autoSpaceDN/>
        <w:adjustRightInd/>
        <w:spacing w:before="120" w:after="120"/>
        <w:ind w:left="0"/>
        <w:jc w:val="both"/>
        <w:rPr>
          <w:rFonts w:ascii="Calibri" w:hAnsi="Calibri"/>
          <w:b/>
        </w:rPr>
      </w:pPr>
    </w:p>
    <w:p w:rsidR="008F59B3" w:rsidRDefault="008F59B3" w:rsidP="005320EA">
      <w:pPr>
        <w:pStyle w:val="Akapitzlist"/>
        <w:numPr>
          <w:ilvl w:val="1"/>
          <w:numId w:val="16"/>
        </w:numPr>
        <w:tabs>
          <w:tab w:val="clear" w:pos="1418"/>
          <w:tab w:val="num" w:pos="426"/>
          <w:tab w:val="left" w:pos="567"/>
        </w:tabs>
        <w:autoSpaceDE/>
        <w:autoSpaceDN/>
        <w:adjustRightInd/>
        <w:spacing w:before="120" w:after="120"/>
        <w:ind w:left="0" w:firstLine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Roboty wykończeniowe</w:t>
      </w:r>
    </w:p>
    <w:p w:rsidR="008F59B3" w:rsidRPr="005320EA" w:rsidRDefault="008F59B3" w:rsidP="005320EA">
      <w:pPr>
        <w:pStyle w:val="Akapitzlist"/>
        <w:tabs>
          <w:tab w:val="left" w:pos="567"/>
        </w:tabs>
        <w:autoSpaceDE/>
        <w:autoSpaceDN/>
        <w:adjustRightInd/>
        <w:spacing w:before="120" w:after="120"/>
        <w:ind w:left="0"/>
        <w:jc w:val="both"/>
        <w:rPr>
          <w:rFonts w:ascii="Calibri" w:hAnsi="Calibri"/>
          <w:i/>
        </w:rPr>
      </w:pPr>
      <w:r w:rsidRPr="005320EA">
        <w:rPr>
          <w:rFonts w:ascii="Calibri" w:hAnsi="Calibri"/>
          <w:bCs/>
          <w:i/>
        </w:rPr>
        <w:t>Prace wykończeniowe należy wykonać zgodnie z OST:</w:t>
      </w:r>
      <w:hyperlink r:id="rId9" w:tgtFrame="_top" w:history="1">
        <w:r w:rsidRPr="005320EA">
          <w:rPr>
            <w:rStyle w:val="Hipercze"/>
            <w:rFonts w:ascii="Calibri" w:hAnsi="Calibri" w:cs="Tahoma"/>
            <w:bCs/>
            <w:i/>
          </w:rPr>
          <w:t>D-06.01.01</w:t>
        </w:r>
      </w:hyperlink>
      <w:r w:rsidRPr="005320EA">
        <w:rPr>
          <w:rFonts w:ascii="Calibri" w:hAnsi="Calibri"/>
          <w:i/>
        </w:rPr>
        <w:t xml:space="preserve"> Umocnienie powierzchniowe skarp, </w:t>
      </w:r>
      <w:r>
        <w:rPr>
          <w:rFonts w:ascii="Calibri" w:hAnsi="Calibri"/>
          <w:i/>
        </w:rPr>
        <w:t>tereny oznaczone w projekcie wykonawczym na zielono należy  obsiać trawą.</w:t>
      </w:r>
    </w:p>
    <w:p w:rsidR="008F59B3" w:rsidRDefault="008F59B3" w:rsidP="00F53D23">
      <w:pPr>
        <w:pStyle w:val="Akapitzlist"/>
        <w:tabs>
          <w:tab w:val="left" w:pos="567"/>
        </w:tabs>
        <w:autoSpaceDE/>
        <w:autoSpaceDN/>
        <w:adjustRightInd/>
        <w:spacing w:after="200"/>
        <w:ind w:left="0"/>
        <w:jc w:val="both"/>
        <w:rPr>
          <w:rFonts w:ascii="Calibri" w:hAnsi="Calibri"/>
          <w:i/>
        </w:rPr>
      </w:pPr>
    </w:p>
    <w:p w:rsidR="008F59B3" w:rsidRPr="00AE4DA0" w:rsidRDefault="008F59B3" w:rsidP="00F53D23">
      <w:pPr>
        <w:pStyle w:val="Akapitzlist"/>
        <w:tabs>
          <w:tab w:val="left" w:pos="567"/>
        </w:tabs>
        <w:autoSpaceDE/>
        <w:autoSpaceDN/>
        <w:adjustRightInd/>
        <w:spacing w:after="200"/>
        <w:ind w:left="0"/>
        <w:jc w:val="both"/>
        <w:rPr>
          <w:rFonts w:ascii="Calibri" w:hAnsi="Calibri"/>
          <w:i/>
        </w:rPr>
      </w:pPr>
    </w:p>
    <w:p w:rsidR="008F59B3" w:rsidRPr="00AE4DA0" w:rsidRDefault="008F59B3" w:rsidP="00F53D23">
      <w:pPr>
        <w:pStyle w:val="Style14"/>
        <w:widowControl/>
        <w:numPr>
          <w:ilvl w:val="0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KONTROLA JAKOŚCI ROBÓT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Kontrola i zasady kontroli jakości robót.</w:t>
      </w:r>
    </w:p>
    <w:p w:rsidR="008F59B3" w:rsidRPr="00AE4DA0" w:rsidRDefault="008F59B3" w:rsidP="00F53D23">
      <w:pPr>
        <w:pStyle w:val="Style3"/>
        <w:widowControl/>
        <w:tabs>
          <w:tab w:val="left" w:pos="567"/>
        </w:tabs>
        <w:spacing w:line="240" w:lineRule="auto"/>
        <w:ind w:firstLine="0"/>
        <w:jc w:val="both"/>
        <w:rPr>
          <w:rStyle w:val="FontStyle15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5"/>
          <w:rFonts w:ascii="Calibri" w:hAnsi="Calibri"/>
          <w:b w:val="0"/>
          <w:i/>
          <w:sz w:val="24"/>
          <w:szCs w:val="24"/>
        </w:rPr>
        <w:t>Wykonawca odpowiedzialny jest za pełną kontrolę robót i jakość materiałów. Wykonawca powinien zapewnić odpowiedni system kontroli i nadzoru, włączając personel, sprzęt, zaopatrzenie oraz wszystkie urządzenia niezbędne do pobierania próbek i badań materiałów i robót. Celem kontroli robót jest takie sterownie ich przygotowaniem i wykonaniem, aby osiągnąć założoną jakość robót. Wykonawca jest odpowiedzialny za pełną kontrolę oraz jakość materiałów. Wykonawca musi przeprowadzać pomiary, próby z częstotliwością zapewniającą stwierdzenie, że roboty wykonano zgodnie z wymaganiami zawartymi w specyfikacji robót oraz warunkami technicznymi wykonania i obioru robót budowlano - montażowych. Minimalne wymagania co do zakresu prób i ich częstotliwość są określone w normach i wytycznych.</w:t>
      </w:r>
    </w:p>
    <w:p w:rsidR="008F59B3" w:rsidRPr="00AE4DA0" w:rsidRDefault="008F59B3" w:rsidP="00F53D23">
      <w:pPr>
        <w:pStyle w:val="Style3"/>
        <w:widowControl/>
        <w:tabs>
          <w:tab w:val="left" w:pos="567"/>
        </w:tabs>
        <w:spacing w:line="240" w:lineRule="auto"/>
        <w:ind w:firstLine="0"/>
        <w:jc w:val="both"/>
        <w:rPr>
          <w:rStyle w:val="FontStyle15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5"/>
          <w:rFonts w:ascii="Calibri" w:hAnsi="Calibri"/>
          <w:b w:val="0"/>
          <w:i/>
          <w:sz w:val="24"/>
          <w:szCs w:val="24"/>
        </w:rPr>
        <w:t>Pomiary i próby muszą być prowadzone zgodnie z wymaganiami PN. W przypadku, gdy normy nie obejmują jakiegokolwiek badania stosować można wytyczne krajowe lub inne procedury akceptowane przez Zamawiającego. Po wykonaniu pomiaru i prób Wykonawca przedstawi na piśmie ich wyniki Zamawiającemu.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Certyfikaty i deklaracje.</w:t>
      </w:r>
    </w:p>
    <w:p w:rsidR="008F59B3" w:rsidRPr="00AE4DA0" w:rsidRDefault="008F59B3" w:rsidP="00F53D23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i/>
          <w:color w:val="000000"/>
        </w:rPr>
      </w:pPr>
      <w:r w:rsidRPr="00AE4DA0">
        <w:rPr>
          <w:rFonts w:ascii="Calibri" w:hAnsi="Calibri"/>
          <w:i/>
          <w:color w:val="000000"/>
        </w:rPr>
        <w:t>Zamawiający może dopuścić do użycia tylko te materiały, które posiadają:</w:t>
      </w:r>
    </w:p>
    <w:p w:rsidR="008F59B3" w:rsidRPr="00AE4DA0" w:rsidRDefault="008F59B3" w:rsidP="00F53D23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i/>
          <w:color w:val="000000"/>
        </w:rPr>
      </w:pPr>
      <w:r w:rsidRPr="00AE4DA0">
        <w:rPr>
          <w:rFonts w:ascii="Calibri" w:hAnsi="Calibri"/>
          <w:i/>
          <w:color w:val="000000"/>
        </w:rPr>
        <w:t>Certyfikat na znak bezpieczeństwa wskazujący, że zapewniono zgodność z kryteriami technicznymi określonymi na podstawie Polskich Norm i Norm Zharmonizowanych art. 30 Ustawy Prawo zamówień publicznych, aprobat technicznych oraz właściwych przepisów i dokumentów technicznych,</w:t>
      </w:r>
    </w:p>
    <w:p w:rsidR="008F59B3" w:rsidRPr="00AE4DA0" w:rsidRDefault="008F59B3" w:rsidP="00F53D23">
      <w:pPr>
        <w:pStyle w:val="Style14"/>
        <w:tabs>
          <w:tab w:val="left" w:pos="216"/>
          <w:tab w:val="left" w:pos="567"/>
        </w:tabs>
        <w:spacing w:line="240" w:lineRule="auto"/>
        <w:ind w:firstLine="0"/>
        <w:jc w:val="both"/>
        <w:rPr>
          <w:rFonts w:ascii="Calibri" w:hAnsi="Calibri"/>
          <w:i/>
          <w:color w:val="000000"/>
        </w:rPr>
      </w:pPr>
      <w:r w:rsidRPr="00AE4DA0">
        <w:rPr>
          <w:rFonts w:ascii="Calibri" w:hAnsi="Calibri"/>
          <w:i/>
          <w:color w:val="000000"/>
        </w:rPr>
        <w:t>Deklarację zgodności lub certyfikat zgodności z: Polską Normą lub Aprobatą techniczną, w przypadku wyrobów, dla których nie ustanowiono PN, jeżeli nie są objęte certyfikacją określoną powyżej i które spełniają wymogi specyfikami. W przypadku materiałów dla których w/</w:t>
      </w:r>
      <w:proofErr w:type="spellStart"/>
      <w:r w:rsidRPr="00AE4DA0">
        <w:rPr>
          <w:rFonts w:ascii="Calibri" w:hAnsi="Calibri"/>
          <w:i/>
          <w:color w:val="000000"/>
        </w:rPr>
        <w:t>w</w:t>
      </w:r>
      <w:proofErr w:type="spellEnd"/>
      <w:r w:rsidRPr="00AE4DA0">
        <w:rPr>
          <w:rFonts w:ascii="Calibri" w:hAnsi="Calibri"/>
          <w:i/>
          <w:color w:val="000000"/>
        </w:rPr>
        <w:t xml:space="preserve"> dokumenty nie są wymagane, każda partia dostarczona do robót będzie posiadać dokumenty określające w sposób jednoznaczny ich cechy. Produkty nieznacznie odbiega od wymagań dokumentacji </w:t>
      </w:r>
      <w:r w:rsidRPr="00AE4DA0">
        <w:rPr>
          <w:rFonts w:ascii="Calibri" w:hAnsi="Calibri"/>
          <w:i/>
          <w:color w:val="000000"/>
        </w:rPr>
        <w:lastRenderedPageBreak/>
        <w:t>technicznej i Specyfikacji Technicznej, komisja wnioskuje o dokonanie potrąceń zgodnie z warunkami umowy.. Dokumenty odbioru końcowego. Podstawowym dokumentem do dokonania odbioru końcowego jest protokół odbioru robót sporządzony wg wzoru ustalonego przez Zamawiającego. Do odbioru końcowego Wykonawca jest zobowiązany przygotować następujące dokumenty:</w:t>
      </w:r>
    </w:p>
    <w:p w:rsidR="008F59B3" w:rsidRPr="00AE4DA0" w:rsidRDefault="008F59B3" w:rsidP="00F53D23">
      <w:pPr>
        <w:pStyle w:val="Style14"/>
        <w:tabs>
          <w:tab w:val="left" w:pos="216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Fonts w:ascii="Calibri" w:hAnsi="Calibri"/>
          <w:i/>
          <w:color w:val="000000"/>
        </w:rPr>
        <w:t>Deklaracje zgodności lub certyfikaty zgodności wbudowanych materiałów zgodnych z programem zapewnienia jakości i Specyfikacją Techniczną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16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Dokument budowy.</w:t>
      </w:r>
    </w:p>
    <w:p w:rsidR="008F59B3" w:rsidRPr="00AE4DA0" w:rsidRDefault="008F59B3" w:rsidP="00F53D23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2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2"/>
          <w:rFonts w:ascii="Calibri" w:hAnsi="Calibri"/>
          <w:b w:val="0"/>
          <w:i/>
          <w:sz w:val="24"/>
          <w:szCs w:val="24"/>
        </w:rPr>
        <w:t>Dokumenty budowy takie jak: protokoły przekazania placu budowy, umowy cywilnoprawne z osobami trzecimi i inne umowy cywilnoprawne, polisy ubezpieczeniowe, protokoły odbioru robót, protokoły z odbytych narad i ustaleń powinny być przechowywane na placu budowy w miejscu odpowiednio zabezpieczonym. Zaginięcie jakiegokolwiek dokumentu budowy spowoduje jego natychmiastowe odtworzenie w sposób przewidziany prawem. Wszystkie dokumenty budowy powinny być zawsze dostępne dla Zamawiającego.</w:t>
      </w:r>
    </w:p>
    <w:p w:rsidR="008F59B3" w:rsidRPr="00AE4DA0" w:rsidRDefault="008F59B3" w:rsidP="00F53D23">
      <w:pPr>
        <w:pStyle w:val="Style14"/>
        <w:widowControl/>
        <w:tabs>
          <w:tab w:val="left" w:pos="216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</w:p>
    <w:p w:rsidR="008F59B3" w:rsidRPr="00AE4DA0" w:rsidRDefault="008F59B3" w:rsidP="00F53D23">
      <w:pPr>
        <w:pStyle w:val="Style14"/>
        <w:widowControl/>
        <w:numPr>
          <w:ilvl w:val="0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WYMAGANIA DOTYCZĄCE OBMIARU ROBÓT</w:t>
      </w:r>
    </w:p>
    <w:p w:rsidR="008F59B3" w:rsidRPr="00AE4DA0" w:rsidRDefault="008F59B3" w:rsidP="00F53D23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2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2"/>
          <w:rFonts w:ascii="Calibri" w:hAnsi="Calibri"/>
          <w:b w:val="0"/>
          <w:i/>
          <w:sz w:val="24"/>
          <w:szCs w:val="24"/>
        </w:rPr>
        <w:t>Obmiar robót będzie określać faktyczny zakres wykonanych robót, w jednostkach obmiarowych podanych dla poszczególnych rodzajów robót w przedmiarze.</w:t>
      </w:r>
    </w:p>
    <w:p w:rsidR="008F59B3" w:rsidRPr="00AE4DA0" w:rsidRDefault="008F59B3" w:rsidP="00F53D23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2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2"/>
          <w:rFonts w:ascii="Calibri" w:hAnsi="Calibri"/>
          <w:b w:val="0"/>
          <w:i/>
          <w:sz w:val="24"/>
          <w:szCs w:val="24"/>
        </w:rPr>
        <w:t>Obmiar robót będzie każdorazowo wykonywany przez Wykonawcę robót i powinien być przeprowadzony zgodnie z obowiązującymi zasadami zarówno na etapie wykonywania jak i po zakończeniu wykonania elementu robót stanowiących odrębną całość. Obmiar robót każdorazowo podlega sprawdzeniu przez Zamawiającego w celu ewentualnego naniesieniu poprawek, zgodnego ze stanem rzeczywistym.</w:t>
      </w:r>
    </w:p>
    <w:p w:rsidR="008F59B3" w:rsidRDefault="008F59B3" w:rsidP="00F53D23">
      <w:pPr>
        <w:pStyle w:val="Style14"/>
        <w:widowControl/>
        <w:tabs>
          <w:tab w:val="left" w:pos="209"/>
          <w:tab w:val="left" w:pos="567"/>
        </w:tabs>
        <w:spacing w:line="240" w:lineRule="auto"/>
        <w:ind w:firstLine="0"/>
        <w:jc w:val="both"/>
        <w:rPr>
          <w:rStyle w:val="FontStyle12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2"/>
          <w:rFonts w:ascii="Calibri" w:hAnsi="Calibri"/>
          <w:b w:val="0"/>
          <w:i/>
          <w:sz w:val="24"/>
          <w:szCs w:val="24"/>
        </w:rPr>
        <w:t>Obliczenia powinny być wykonane w sposób zrozumiały i jednoznaczny. Obmiar robót zanikowych przeprowadza się w trakcie ich wykonywania. Obmiar robót podlegających zakryciu przeprowadza się przed ich zakryciem</w:t>
      </w:r>
      <w:r>
        <w:rPr>
          <w:rStyle w:val="FontStyle12"/>
          <w:rFonts w:ascii="Calibri" w:hAnsi="Calibri"/>
          <w:b w:val="0"/>
          <w:i/>
          <w:sz w:val="24"/>
          <w:szCs w:val="24"/>
        </w:rPr>
        <w:t>.</w:t>
      </w:r>
    </w:p>
    <w:p w:rsidR="008F59B3" w:rsidRPr="00AE4DA0" w:rsidRDefault="008F59B3" w:rsidP="00F53D23">
      <w:pPr>
        <w:pStyle w:val="Style14"/>
        <w:widowControl/>
        <w:tabs>
          <w:tab w:val="left" w:pos="209"/>
          <w:tab w:val="left" w:pos="567"/>
        </w:tabs>
        <w:spacing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</w:p>
    <w:p w:rsidR="008F59B3" w:rsidRPr="00AE4DA0" w:rsidRDefault="008F59B3" w:rsidP="00F53D23">
      <w:pPr>
        <w:pStyle w:val="Style14"/>
        <w:widowControl/>
        <w:numPr>
          <w:ilvl w:val="0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ODBIÓR ROBÓT BUDOWLANYCH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Ogólne zasady odbioru robót budowlanych.</w:t>
      </w:r>
    </w:p>
    <w:p w:rsidR="008F59B3" w:rsidRPr="001E1A70" w:rsidRDefault="008F59B3" w:rsidP="00F53D23">
      <w:pPr>
        <w:pStyle w:val="Style14"/>
        <w:widowControl/>
        <w:tabs>
          <w:tab w:val="left" w:pos="209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color w:val="auto"/>
          <w:sz w:val="24"/>
          <w:szCs w:val="24"/>
        </w:rPr>
      </w:pPr>
      <w:r w:rsidRPr="00AE4DA0">
        <w:rPr>
          <w:rStyle w:val="FontStyle12"/>
          <w:rFonts w:ascii="Calibri" w:hAnsi="Calibri"/>
          <w:b w:val="0"/>
          <w:i/>
          <w:color w:val="auto"/>
          <w:sz w:val="24"/>
          <w:szCs w:val="24"/>
        </w:rPr>
        <w:t xml:space="preserve">Odbiór robót następował będzie po zgłoszeniu Zamawiającemu przez Wykonawcę gotowości do odbioru, zgodnie z umową na roboty </w:t>
      </w:r>
      <w:r w:rsidRPr="001E1A70">
        <w:rPr>
          <w:rStyle w:val="FontStyle12"/>
          <w:rFonts w:ascii="Calibri" w:hAnsi="Calibri"/>
          <w:b w:val="0"/>
          <w:i/>
          <w:color w:val="auto"/>
          <w:sz w:val="24"/>
          <w:szCs w:val="24"/>
        </w:rPr>
        <w:t>budowlane.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Rodzaje odbiorów robót;</w:t>
      </w:r>
    </w:p>
    <w:p w:rsidR="008F59B3" w:rsidRPr="00AE4DA0" w:rsidRDefault="008F59B3" w:rsidP="00F53D23">
      <w:pPr>
        <w:pStyle w:val="Style14"/>
        <w:widowControl/>
        <w:tabs>
          <w:tab w:val="left" w:pos="209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Fonts w:ascii="Calibri" w:hAnsi="Calibri"/>
          <w:i/>
          <w:color w:val="000000"/>
        </w:rPr>
        <w:t>zależności od rodzaju prac, roboty podlegają następującym etapom odbioru</w:t>
      </w:r>
      <w:r>
        <w:rPr>
          <w:rFonts w:ascii="Calibri" w:hAnsi="Calibri"/>
          <w:i/>
          <w:color w:val="000000"/>
        </w:rPr>
        <w:t>:</w:t>
      </w:r>
    </w:p>
    <w:p w:rsidR="008F59B3" w:rsidRPr="00AE4DA0" w:rsidRDefault="008F59B3" w:rsidP="00F53D23">
      <w:pPr>
        <w:pStyle w:val="tekstost"/>
        <w:numPr>
          <w:ilvl w:val="0"/>
          <w:numId w:val="33"/>
        </w:numPr>
        <w:tabs>
          <w:tab w:val="left" w:pos="567"/>
        </w:tabs>
        <w:ind w:left="0" w:firstLine="0"/>
        <w:rPr>
          <w:rFonts w:ascii="Calibri" w:hAnsi="Calibri"/>
          <w:i/>
          <w:sz w:val="24"/>
          <w:szCs w:val="24"/>
        </w:rPr>
      </w:pPr>
      <w:r w:rsidRPr="00AE4DA0">
        <w:rPr>
          <w:rFonts w:ascii="Calibri" w:hAnsi="Calibri"/>
          <w:i/>
          <w:sz w:val="24"/>
          <w:szCs w:val="24"/>
        </w:rPr>
        <w:t>odbiorowi robót zanikających i ulegających zakryciu,</w:t>
      </w:r>
    </w:p>
    <w:p w:rsidR="008F59B3" w:rsidRPr="00AE4DA0" w:rsidRDefault="008F59B3" w:rsidP="00F53D23">
      <w:pPr>
        <w:pStyle w:val="tekstost"/>
        <w:numPr>
          <w:ilvl w:val="0"/>
          <w:numId w:val="33"/>
        </w:numPr>
        <w:tabs>
          <w:tab w:val="left" w:pos="567"/>
        </w:tabs>
        <w:ind w:left="0" w:firstLine="0"/>
        <w:rPr>
          <w:rFonts w:ascii="Calibri" w:hAnsi="Calibri"/>
          <w:i/>
          <w:sz w:val="24"/>
          <w:szCs w:val="24"/>
        </w:rPr>
      </w:pPr>
      <w:r w:rsidRPr="00AE4DA0">
        <w:rPr>
          <w:rFonts w:ascii="Calibri" w:hAnsi="Calibri"/>
          <w:i/>
          <w:sz w:val="24"/>
          <w:szCs w:val="24"/>
        </w:rPr>
        <w:t>odbiorowi końcowy,</w:t>
      </w:r>
    </w:p>
    <w:p w:rsidR="008F59B3" w:rsidRPr="00AE4DA0" w:rsidRDefault="008F59B3" w:rsidP="00F53D23">
      <w:pPr>
        <w:pStyle w:val="tekstost"/>
        <w:numPr>
          <w:ilvl w:val="0"/>
          <w:numId w:val="33"/>
        </w:numPr>
        <w:tabs>
          <w:tab w:val="left" w:pos="567"/>
        </w:tabs>
        <w:ind w:left="0" w:firstLine="0"/>
        <w:rPr>
          <w:rFonts w:ascii="Calibri" w:hAnsi="Calibri"/>
          <w:i/>
          <w:sz w:val="24"/>
          <w:szCs w:val="24"/>
        </w:rPr>
      </w:pPr>
      <w:r w:rsidRPr="00AE4DA0">
        <w:rPr>
          <w:rFonts w:ascii="Calibri" w:hAnsi="Calibri"/>
          <w:i/>
          <w:sz w:val="24"/>
          <w:szCs w:val="24"/>
        </w:rPr>
        <w:t>odbiorowi pogwarancyjnemu.</w:t>
      </w:r>
    </w:p>
    <w:p w:rsidR="008F59B3" w:rsidRPr="00AE4DA0" w:rsidRDefault="008F59B3" w:rsidP="00F53D23">
      <w:pPr>
        <w:pStyle w:val="Style14"/>
        <w:widowControl/>
        <w:numPr>
          <w:ilvl w:val="2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Odbiór robót zanikających.</w:t>
      </w:r>
    </w:p>
    <w:p w:rsidR="008F59B3" w:rsidRPr="00AE4DA0" w:rsidRDefault="008F59B3" w:rsidP="00F53D23">
      <w:pPr>
        <w:pStyle w:val="Style14"/>
        <w:tabs>
          <w:tab w:val="left" w:pos="209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>Odbiór robót zanikających i ulegających zakryciu polega na finalnej ocenie ilości i jakości wykonywanych robót, które w dalszym procesie realizacji ulegną zakryciu.</w:t>
      </w:r>
    </w:p>
    <w:p w:rsidR="008F59B3" w:rsidRPr="00AE4DA0" w:rsidRDefault="008F59B3" w:rsidP="00F53D23">
      <w:pPr>
        <w:pStyle w:val="Style14"/>
        <w:tabs>
          <w:tab w:val="left" w:pos="209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ab/>
        <w:t xml:space="preserve">Odbiór robót zanikających i ulegających zakryciu będzie dokonany w czasie </w:t>
      </w:r>
      <w:r w:rsidRPr="00AE4DA0">
        <w:rPr>
          <w:rFonts w:ascii="Calibri" w:hAnsi="Calibri"/>
          <w:bCs/>
          <w:i/>
          <w:color w:val="000000"/>
        </w:rPr>
        <w:lastRenderedPageBreak/>
        <w:t>umożliwiającym wykonanie ewentualnych korekt i poprawek bez hamowania ogólnego postępu robót.</w:t>
      </w:r>
    </w:p>
    <w:p w:rsidR="008F59B3" w:rsidRPr="00AE4DA0" w:rsidRDefault="008F59B3" w:rsidP="00F53D23">
      <w:pPr>
        <w:pStyle w:val="Style14"/>
        <w:tabs>
          <w:tab w:val="left" w:pos="209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ab/>
        <w:t>Odbioru robót dokonuje Inspektor Nadzoru Inwestorskiego.</w:t>
      </w:r>
    </w:p>
    <w:p w:rsidR="008F59B3" w:rsidRPr="00AE4DA0" w:rsidRDefault="008F59B3" w:rsidP="00F53D23">
      <w:pPr>
        <w:pStyle w:val="Style14"/>
        <w:tabs>
          <w:tab w:val="left" w:pos="209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ab/>
        <w:t>Gotowość danej części robót do odbioru zgłasza Wykonawca wpisem do dziennika budowy i jednoczesnym powiadomieniem Inspektora Nadzoru. Odbiór będzie przeprowadzony niezwłocznie, nie później jednak niż w ciągu 3 dni od daty zgłoszenia wpisem do dziennika budowy i powiadomienia o tym fakcie Inspektora Nadzoru.</w:t>
      </w:r>
    </w:p>
    <w:p w:rsidR="008F59B3" w:rsidRPr="00AE4DA0" w:rsidRDefault="008F59B3" w:rsidP="00F53D23">
      <w:pPr>
        <w:pStyle w:val="Style14"/>
        <w:tabs>
          <w:tab w:val="left" w:pos="209"/>
          <w:tab w:val="left" w:pos="567"/>
        </w:tabs>
        <w:spacing w:line="240" w:lineRule="auto"/>
        <w:ind w:firstLine="0"/>
        <w:jc w:val="both"/>
        <w:rPr>
          <w:rFonts w:ascii="Calibri" w:hAnsi="Calibri"/>
          <w:bCs/>
          <w:i/>
          <w:color w:val="000000"/>
        </w:rPr>
      </w:pPr>
      <w:r w:rsidRPr="00AE4DA0">
        <w:rPr>
          <w:rFonts w:ascii="Calibri" w:hAnsi="Calibri"/>
          <w:bCs/>
          <w:i/>
          <w:color w:val="000000"/>
        </w:rPr>
        <w:tab/>
        <w:t>Jakość i ilość robót ulegających zakryciu ocenia Inspektor Nadzoru na podstawie dokumentów zawierających komplet wyników badań laboratoryjnych i w oparciu o przeprowadzone pomiary, w konfrontacji z dokumentacją projektową, OST i uprzednimi ustaleniami.</w:t>
      </w:r>
    </w:p>
    <w:p w:rsidR="008F59B3" w:rsidRPr="00AE4DA0" w:rsidRDefault="008F59B3" w:rsidP="00F53D23">
      <w:pPr>
        <w:pStyle w:val="Style14"/>
        <w:widowControl/>
        <w:numPr>
          <w:ilvl w:val="2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Odbiór końcowy.</w:t>
      </w:r>
    </w:p>
    <w:p w:rsidR="008F59B3" w:rsidRPr="00AE4DA0" w:rsidRDefault="008F59B3" w:rsidP="00F53D23">
      <w:pPr>
        <w:pStyle w:val="Style2"/>
        <w:widowControl/>
        <w:tabs>
          <w:tab w:val="left" w:pos="567"/>
        </w:tabs>
        <w:spacing w:line="240" w:lineRule="auto"/>
        <w:ind w:firstLine="0"/>
        <w:jc w:val="both"/>
        <w:rPr>
          <w:rStyle w:val="FontStyle12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2"/>
          <w:rFonts w:ascii="Calibri" w:hAnsi="Calibri"/>
          <w:b w:val="0"/>
          <w:i/>
          <w:sz w:val="24"/>
          <w:szCs w:val="24"/>
        </w:rPr>
        <w:t>Odbiór końcowy robót polega na finalnej ocenie rzeczywistego wykonania robót w odniesieniu do ich ilości, jakości i wartości. Całkowite zakończenie robót oraz gotowość do odbioru końcowego powinna być stwierdzona przez Kierownika Budowy powiadomieniem na piśmie o tym fakcie Zamawiającego. Odbiór końcowy powinien nastąpić w terminach ustalonych w warunkach umowy, licząc od dnia potwierdzenia przez Zamawiającego zakończenia robót i przyjęcia dokumentów odbiorowych. Odbioru końcowego dokonuje komisja wyznaczona przez Zamawiającego w obecności Zamawiającego i Wykonawcy. Komisja odbierająca roboty dokonuje ich oceny jakości na podstawie przedłożonych dokumentów, wyników badań i pomiarów, ocenie wizualnej oraz zgodności robót ze specyfikacją techniczną. W toku odbioru końcowego komisja zapoznaje się z realizacją ustaleń przyjętych w trakcie odbiorów robót zanikających i ulegających zakryciu, zwłaszcza w okresie wykonywania robót uzupełniających i poprawkowych. W przypadkach niewykonania wyznaczonych robót poprawkowych lub uzupełniających, komisja przerywa swoje czynności i ustala nowy termin odbioru końcowego. W przypadku stwierdzenia przez komisję, że jakość robót w poszczególnych elementach i asortymentach nieznacznie odbiega od wymagań dokumentacji technicznej i Specyfikacji Technicznej, komisja wnioskuje o dokonanie potrąceń zgodnie z warunkami umowy.. Dokumenty odbioru końcowego.</w:t>
      </w:r>
    </w:p>
    <w:p w:rsidR="008F59B3" w:rsidRPr="00AE4DA0" w:rsidRDefault="008F59B3" w:rsidP="00F53D23">
      <w:pPr>
        <w:pStyle w:val="Style7"/>
        <w:widowControl/>
        <w:tabs>
          <w:tab w:val="left" w:pos="567"/>
        </w:tabs>
        <w:jc w:val="both"/>
        <w:rPr>
          <w:rStyle w:val="FontStyle12"/>
          <w:rFonts w:ascii="Calibri" w:hAnsi="Calibri"/>
          <w:b w:val="0"/>
          <w:i/>
          <w:sz w:val="24"/>
          <w:szCs w:val="24"/>
        </w:rPr>
      </w:pPr>
      <w:r w:rsidRPr="00AE4DA0">
        <w:rPr>
          <w:rStyle w:val="FontStyle12"/>
          <w:rFonts w:ascii="Calibri" w:hAnsi="Calibri"/>
          <w:b w:val="0"/>
          <w:i/>
          <w:sz w:val="24"/>
          <w:szCs w:val="24"/>
        </w:rPr>
        <w:t>Podstawowym dokumentem do dokonania odbioru końcowego jest protokół odbioru robót sporządzony wg wzoru ustalonego przez Zamawiającego. Do odbioru końcowego Wykonawca jest zobowiązany przygotować następujące dokumenty:</w:t>
      </w:r>
    </w:p>
    <w:p w:rsidR="008F59B3" w:rsidRPr="00AE4DA0" w:rsidRDefault="008F59B3" w:rsidP="00F53D23">
      <w:pPr>
        <w:pStyle w:val="Style6"/>
        <w:widowControl/>
        <w:tabs>
          <w:tab w:val="left" w:pos="567"/>
        </w:tabs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12"/>
          <w:rFonts w:ascii="Calibri" w:hAnsi="Calibri"/>
          <w:b w:val="0"/>
          <w:i/>
          <w:sz w:val="24"/>
          <w:szCs w:val="24"/>
        </w:rPr>
        <w:t>Deklaracje zgodności lub certyfikaty zgodności wbudowanych materiałów zgodnych z programem zapewnienia jakości i Specyfikacją Techniczną</w:t>
      </w:r>
    </w:p>
    <w:p w:rsidR="008F59B3" w:rsidRPr="00AE4DA0" w:rsidRDefault="008F59B3" w:rsidP="00F53D23">
      <w:pPr>
        <w:pStyle w:val="Style14"/>
        <w:widowControl/>
        <w:numPr>
          <w:ilvl w:val="2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Odbiór pogwarancyjny.</w:t>
      </w:r>
    </w:p>
    <w:p w:rsidR="008F59B3" w:rsidRPr="00AE4DA0" w:rsidRDefault="008F59B3" w:rsidP="00F53D23">
      <w:pPr>
        <w:pStyle w:val="Style14"/>
        <w:widowControl/>
        <w:tabs>
          <w:tab w:val="left" w:pos="209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Fonts w:ascii="Calibri" w:hAnsi="Calibri"/>
          <w:i/>
          <w:color w:val="000000"/>
        </w:rPr>
        <w:t>Odbiór pogwarancyjny polega na ocenie wykonanych robót związanych z usunięciem wad stwierdzonych przy odbiorze końcowym i zaistniałych w okresie gwarancji. Odbiór pogwarancyjny powinien być dokonany na podstawie oceny wizualnej robót z uwzględnieniem zasad opisanych przy odbiorze końcowym</w:t>
      </w:r>
    </w:p>
    <w:p w:rsidR="008F59B3" w:rsidRPr="00AE4DA0" w:rsidRDefault="008F59B3" w:rsidP="00F53D23">
      <w:pPr>
        <w:pStyle w:val="Style14"/>
        <w:widowControl/>
        <w:numPr>
          <w:ilvl w:val="0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PODSTAWA ROZLICZANIA ROBÓT</w:t>
      </w:r>
    </w:p>
    <w:p w:rsidR="008F59B3" w:rsidRPr="00AE4DA0" w:rsidRDefault="008F59B3" w:rsidP="00F53D23">
      <w:pPr>
        <w:pStyle w:val="Style14"/>
        <w:widowControl/>
        <w:tabs>
          <w:tab w:val="left" w:pos="209"/>
          <w:tab w:val="left" w:pos="567"/>
        </w:tabs>
        <w:spacing w:line="240" w:lineRule="auto"/>
        <w:ind w:firstLine="0"/>
        <w:jc w:val="both"/>
        <w:rPr>
          <w:rStyle w:val="FontStyle11"/>
          <w:rFonts w:ascii="Calibri" w:hAnsi="Calibri"/>
          <w:i/>
          <w:sz w:val="24"/>
          <w:szCs w:val="24"/>
        </w:rPr>
      </w:pPr>
      <w:r w:rsidRPr="00466D62">
        <w:rPr>
          <w:rStyle w:val="FontStyle11"/>
          <w:rFonts w:ascii="Calibri" w:hAnsi="Calibri"/>
          <w:i/>
          <w:sz w:val="24"/>
          <w:szCs w:val="24"/>
        </w:rPr>
        <w:t>Podstawą płatności jest wartość (kwota) podana przez Wykonawcę i przyjęta przez Zamawiającego w dokumentach umownych (ofercie)</w:t>
      </w:r>
    </w:p>
    <w:p w:rsidR="008F59B3" w:rsidRPr="00AE4DA0" w:rsidRDefault="008F59B3" w:rsidP="00F53D23">
      <w:pPr>
        <w:pStyle w:val="Style14"/>
        <w:widowControl/>
        <w:numPr>
          <w:ilvl w:val="0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lastRenderedPageBreak/>
        <w:t>DOKUMENTY ODNIESIENIA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0"/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Normy.</w:t>
      </w:r>
    </w:p>
    <w:p w:rsidR="008F59B3" w:rsidRPr="001E1A70" w:rsidRDefault="008F59B3" w:rsidP="00F53D23">
      <w:pPr>
        <w:pStyle w:val="Style14"/>
        <w:widowControl/>
        <w:tabs>
          <w:tab w:val="left" w:pos="209"/>
          <w:tab w:val="left" w:pos="567"/>
        </w:tabs>
        <w:spacing w:before="120" w:after="120" w:line="240" w:lineRule="auto"/>
        <w:ind w:firstLine="0"/>
        <w:jc w:val="both"/>
        <w:rPr>
          <w:rStyle w:val="FontStyle22"/>
          <w:rFonts w:cs="Tahoma"/>
          <w:b w:val="0"/>
          <w:i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ab/>
      </w:r>
      <w:r w:rsidRPr="001E1A70">
        <w:rPr>
          <w:rStyle w:val="FontStyle22"/>
          <w:rFonts w:cs="Tahoma"/>
          <w:b w:val="0"/>
          <w:i/>
          <w:sz w:val="24"/>
          <w:szCs w:val="24"/>
        </w:rPr>
        <w:t>Normy wskazane w OST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0"/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 xml:space="preserve">SPECYFIKACJE TECHNICZNE wskazane w </w:t>
      </w:r>
      <w:r>
        <w:rPr>
          <w:rStyle w:val="FontStyle22"/>
          <w:rFonts w:cs="Tahoma"/>
          <w:sz w:val="24"/>
          <w:szCs w:val="24"/>
        </w:rPr>
        <w:t>S</w:t>
      </w:r>
      <w:r w:rsidRPr="00AE4DA0">
        <w:rPr>
          <w:rStyle w:val="FontStyle22"/>
          <w:rFonts w:cs="Tahoma"/>
          <w:sz w:val="24"/>
          <w:szCs w:val="24"/>
        </w:rPr>
        <w:t>ST</w:t>
      </w:r>
    </w:p>
    <w:p w:rsidR="008F59B3" w:rsidRPr="00AE4DA0" w:rsidRDefault="008F59B3" w:rsidP="00F53D23">
      <w:pPr>
        <w:pStyle w:val="Style14"/>
        <w:widowControl/>
        <w:numPr>
          <w:ilvl w:val="1"/>
          <w:numId w:val="16"/>
        </w:numPr>
        <w:tabs>
          <w:tab w:val="left" w:pos="209"/>
          <w:tab w:val="left" w:pos="567"/>
        </w:tabs>
        <w:spacing w:before="120" w:after="120" w:line="240" w:lineRule="auto"/>
        <w:ind w:left="0" w:firstLine="0"/>
        <w:jc w:val="both"/>
        <w:rPr>
          <w:rStyle w:val="FontStyle22"/>
          <w:rFonts w:cs="Tahoma"/>
          <w:sz w:val="24"/>
          <w:szCs w:val="24"/>
        </w:rPr>
      </w:pPr>
      <w:r w:rsidRPr="00AE4DA0">
        <w:rPr>
          <w:rStyle w:val="FontStyle22"/>
          <w:rFonts w:cs="Tahoma"/>
          <w:sz w:val="24"/>
          <w:szCs w:val="24"/>
        </w:rPr>
        <w:t>Inne dokumenty, instrukcje i przepisy.</w:t>
      </w:r>
    </w:p>
    <w:p w:rsidR="008F59B3" w:rsidRPr="00AE4DA0" w:rsidRDefault="008F59B3" w:rsidP="00F53D23">
      <w:pPr>
        <w:pStyle w:val="Akapitzlist"/>
        <w:widowControl/>
        <w:numPr>
          <w:ilvl w:val="0"/>
          <w:numId w:val="37"/>
        </w:numPr>
        <w:tabs>
          <w:tab w:val="clear" w:pos="0"/>
          <w:tab w:val="left" w:pos="709"/>
        </w:tabs>
        <w:autoSpaceDE/>
        <w:autoSpaceDN/>
        <w:adjustRightInd/>
        <w:spacing w:after="200"/>
        <w:ind w:left="709" w:hanging="283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 xml:space="preserve">Ustawa  z dnia 7 lipca 1994r. Prawo budowlane </w:t>
      </w:r>
      <w:r w:rsidRPr="00AE4DA0">
        <w:rPr>
          <w:rFonts w:ascii="Calibri" w:hAnsi="Calibri"/>
          <w:i/>
          <w:iCs/>
        </w:rPr>
        <w:t>(</w:t>
      </w:r>
      <w:proofErr w:type="spellStart"/>
      <w:r w:rsidRPr="00AE4DA0">
        <w:rPr>
          <w:rFonts w:ascii="Calibri" w:hAnsi="Calibri"/>
          <w:i/>
          <w:iCs/>
        </w:rPr>
        <w:t>t.j.Dz</w:t>
      </w:r>
      <w:proofErr w:type="spellEnd"/>
      <w:r w:rsidRPr="00AE4DA0">
        <w:rPr>
          <w:rFonts w:ascii="Calibri" w:hAnsi="Calibri"/>
          <w:i/>
          <w:iCs/>
        </w:rPr>
        <w:t xml:space="preserve">. U. z 2010 r. Nr 243, poz. 1623, z </w:t>
      </w:r>
      <w:proofErr w:type="spellStart"/>
      <w:r w:rsidRPr="00AE4DA0">
        <w:rPr>
          <w:rFonts w:ascii="Calibri" w:hAnsi="Calibri"/>
          <w:i/>
          <w:iCs/>
        </w:rPr>
        <w:t>późn</w:t>
      </w:r>
      <w:proofErr w:type="spellEnd"/>
      <w:r w:rsidRPr="00AE4DA0">
        <w:rPr>
          <w:rFonts w:ascii="Calibri" w:hAnsi="Calibri"/>
          <w:i/>
          <w:iCs/>
        </w:rPr>
        <w:t>. zm.)</w:t>
      </w:r>
    </w:p>
    <w:p w:rsidR="008F59B3" w:rsidRPr="00AE4DA0" w:rsidRDefault="008F59B3" w:rsidP="00F53D23">
      <w:pPr>
        <w:pStyle w:val="Akapitzlist"/>
        <w:widowControl/>
        <w:numPr>
          <w:ilvl w:val="0"/>
          <w:numId w:val="37"/>
        </w:numPr>
        <w:tabs>
          <w:tab w:val="clear" w:pos="0"/>
          <w:tab w:val="left" w:pos="709"/>
        </w:tabs>
        <w:autoSpaceDE/>
        <w:autoSpaceDN/>
        <w:adjustRightInd/>
        <w:spacing w:after="200"/>
        <w:ind w:left="709" w:hanging="283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>rozporządzenie Ministra Transportu i Gospodarki Morskiej z dnia 2 marca 1999 r. w sprawie warunków technicznych, jakim powinny odpowiadać drogi publiczne i ich usytuowanie (Dz. U. Nr 43, poz. 430)</w:t>
      </w:r>
    </w:p>
    <w:p w:rsidR="008F59B3" w:rsidRPr="00AE4DA0" w:rsidRDefault="008F59B3" w:rsidP="00F53D23">
      <w:pPr>
        <w:pStyle w:val="Akapitzlist"/>
        <w:widowControl/>
        <w:numPr>
          <w:ilvl w:val="0"/>
          <w:numId w:val="37"/>
        </w:numPr>
        <w:tabs>
          <w:tab w:val="clear" w:pos="0"/>
          <w:tab w:val="left" w:pos="709"/>
        </w:tabs>
        <w:autoSpaceDE/>
        <w:autoSpaceDN/>
        <w:adjustRightInd/>
        <w:spacing w:after="200"/>
        <w:ind w:left="709" w:hanging="283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>rozporządzenie Ministra Transportu i Gospodarki Morskiej z dnia 30 maja 2000 r. w sprawie warunków technicznych, jakim powinny odpowiadać drogowe obiekty inżynierskie i ich usytuowanie (Dz. U. Nr 63, poz. 735)</w:t>
      </w:r>
    </w:p>
    <w:p w:rsidR="008F59B3" w:rsidRPr="00AE4DA0" w:rsidRDefault="008F59B3" w:rsidP="00F53D23">
      <w:pPr>
        <w:pStyle w:val="Akapitzlist"/>
        <w:widowControl/>
        <w:numPr>
          <w:ilvl w:val="0"/>
          <w:numId w:val="37"/>
        </w:numPr>
        <w:tabs>
          <w:tab w:val="clear" w:pos="0"/>
          <w:tab w:val="left" w:pos="709"/>
        </w:tabs>
        <w:autoSpaceDE/>
        <w:autoSpaceDN/>
        <w:adjustRightInd/>
        <w:spacing w:after="200"/>
        <w:ind w:left="709" w:hanging="283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 xml:space="preserve">Ustawa z dnia 16 kwietnia 2004 r. o wyrobach budowlanych (Dz. U. Nr 92, poz. 881 z </w:t>
      </w:r>
      <w:proofErr w:type="spellStart"/>
      <w:r w:rsidRPr="00AE4DA0">
        <w:rPr>
          <w:rFonts w:ascii="Calibri" w:hAnsi="Calibri"/>
          <w:i/>
        </w:rPr>
        <w:t>późn</w:t>
      </w:r>
      <w:proofErr w:type="spellEnd"/>
      <w:r w:rsidRPr="00AE4DA0">
        <w:rPr>
          <w:rFonts w:ascii="Calibri" w:hAnsi="Calibri"/>
          <w:i/>
        </w:rPr>
        <w:t xml:space="preserve">. zm.)  </w:t>
      </w:r>
    </w:p>
    <w:p w:rsidR="008F59B3" w:rsidRPr="00AE4DA0" w:rsidRDefault="008F59B3" w:rsidP="00F53D23">
      <w:pPr>
        <w:pStyle w:val="Akapitzlist"/>
        <w:widowControl/>
        <w:numPr>
          <w:ilvl w:val="0"/>
          <w:numId w:val="37"/>
        </w:numPr>
        <w:tabs>
          <w:tab w:val="clear" w:pos="0"/>
          <w:tab w:val="left" w:pos="709"/>
        </w:tabs>
        <w:autoSpaceDE/>
        <w:autoSpaceDN/>
        <w:adjustRightInd/>
        <w:spacing w:after="200"/>
        <w:ind w:left="709" w:hanging="283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 xml:space="preserve">rozporządzenie Ministra Infrastruktury z dnia 11 sierpnia 2004 r. w sprawie systemów oceny zgodności, wymagań, jakie powinny spełniać notyfikowane jednostki uczestniczące w ocenie zgodności, oraz sposobu oznaczania wyrobów budowlanych oznakowaniem CE (Dz. U. Nr 195, poz. 2011) </w:t>
      </w:r>
    </w:p>
    <w:p w:rsidR="008F59B3" w:rsidRPr="00AE4DA0" w:rsidRDefault="008F59B3" w:rsidP="00F53D23">
      <w:pPr>
        <w:pStyle w:val="Akapitzlist"/>
        <w:widowControl/>
        <w:numPr>
          <w:ilvl w:val="0"/>
          <w:numId w:val="37"/>
        </w:numPr>
        <w:tabs>
          <w:tab w:val="clear" w:pos="0"/>
          <w:tab w:val="left" w:pos="709"/>
        </w:tabs>
        <w:autoSpaceDE/>
        <w:autoSpaceDN/>
        <w:adjustRightInd/>
        <w:spacing w:after="200"/>
        <w:ind w:left="709" w:hanging="283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 xml:space="preserve">rozporządzenie Ministra Infrastruktury z dnia 14 października 2004 r. w sprawie europejskich aprobat technicznych oraz polskich jednostek organizacyjnych upoważnionych do ich wydawania (Dz. U. Nr 237, poz. 2375) </w:t>
      </w:r>
    </w:p>
    <w:p w:rsidR="008F59B3" w:rsidRPr="00AE4DA0" w:rsidRDefault="008F59B3" w:rsidP="00F53D23">
      <w:pPr>
        <w:pStyle w:val="Akapitzlist"/>
        <w:widowControl/>
        <w:numPr>
          <w:ilvl w:val="0"/>
          <w:numId w:val="37"/>
        </w:numPr>
        <w:tabs>
          <w:tab w:val="clear" w:pos="0"/>
          <w:tab w:val="left" w:pos="709"/>
        </w:tabs>
        <w:autoSpaceDE/>
        <w:autoSpaceDN/>
        <w:adjustRightInd/>
        <w:spacing w:after="200"/>
        <w:ind w:left="709" w:hanging="283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 xml:space="preserve">rozporządzenie Ministra Infrastruktury z dnia 11 sierpnia 2004 r. w sprawie sposobów deklarowania zgodności wyrobów budowlanych oraz sposobu znakowania ich znakiem budowlanym (Dz. U. Nr 198, poz. 2041 z </w:t>
      </w:r>
      <w:proofErr w:type="spellStart"/>
      <w:r w:rsidRPr="00AE4DA0">
        <w:rPr>
          <w:rFonts w:ascii="Calibri" w:hAnsi="Calibri"/>
          <w:i/>
        </w:rPr>
        <w:t>późn</w:t>
      </w:r>
      <w:proofErr w:type="spellEnd"/>
      <w:r w:rsidRPr="00AE4DA0">
        <w:rPr>
          <w:rFonts w:ascii="Calibri" w:hAnsi="Calibri"/>
          <w:i/>
        </w:rPr>
        <w:t>. zm.)</w:t>
      </w:r>
    </w:p>
    <w:p w:rsidR="008F59B3" w:rsidRPr="00AE4DA0" w:rsidRDefault="008F59B3" w:rsidP="00F53D23">
      <w:pPr>
        <w:pStyle w:val="Akapitzlist"/>
        <w:widowControl/>
        <w:numPr>
          <w:ilvl w:val="0"/>
          <w:numId w:val="37"/>
        </w:numPr>
        <w:tabs>
          <w:tab w:val="clear" w:pos="0"/>
          <w:tab w:val="left" w:pos="709"/>
        </w:tabs>
        <w:autoSpaceDE/>
        <w:autoSpaceDN/>
        <w:adjustRightInd/>
        <w:spacing w:after="200"/>
        <w:ind w:left="709" w:hanging="283"/>
        <w:jc w:val="both"/>
        <w:rPr>
          <w:rFonts w:ascii="Calibri" w:hAnsi="Calibri"/>
          <w:i/>
        </w:rPr>
      </w:pPr>
      <w:r w:rsidRPr="00AE4DA0">
        <w:rPr>
          <w:rFonts w:ascii="Calibri" w:hAnsi="Calibri"/>
          <w:i/>
        </w:rPr>
        <w:t xml:space="preserve"> rozporządzenie Ministra Infrastruktury z dnia 8 listopada 2004 r. w sprawie aprobat technicznych oraz jednostek organizacyjnych upoważnionych do ich wydawania (Dz. U. Nr 249, poz. 2497 z </w:t>
      </w:r>
      <w:proofErr w:type="spellStart"/>
      <w:r w:rsidRPr="00AE4DA0">
        <w:rPr>
          <w:rFonts w:ascii="Calibri" w:hAnsi="Calibri"/>
          <w:i/>
        </w:rPr>
        <w:t>późn</w:t>
      </w:r>
      <w:proofErr w:type="spellEnd"/>
      <w:r w:rsidRPr="00AE4DA0">
        <w:rPr>
          <w:rFonts w:ascii="Calibri" w:hAnsi="Calibri"/>
          <w:i/>
        </w:rPr>
        <w:t>. zm.)</w:t>
      </w:r>
    </w:p>
    <w:p w:rsidR="008F59B3" w:rsidRPr="00AE4DA0" w:rsidRDefault="008F59B3" w:rsidP="00F53D23">
      <w:pPr>
        <w:pStyle w:val="Akapitzlist"/>
        <w:widowControl/>
        <w:numPr>
          <w:ilvl w:val="0"/>
          <w:numId w:val="37"/>
        </w:numPr>
        <w:tabs>
          <w:tab w:val="clear" w:pos="0"/>
          <w:tab w:val="left" w:pos="709"/>
        </w:tabs>
        <w:autoSpaceDE/>
        <w:autoSpaceDN/>
        <w:adjustRightInd/>
        <w:spacing w:after="200"/>
        <w:ind w:left="709" w:hanging="283"/>
        <w:jc w:val="both"/>
        <w:rPr>
          <w:rStyle w:val="FontStyle11"/>
          <w:rFonts w:ascii="Calibri" w:hAnsi="Calibri"/>
          <w:i/>
          <w:color w:val="auto"/>
          <w:sz w:val="24"/>
          <w:szCs w:val="24"/>
        </w:rPr>
      </w:pPr>
      <w:r w:rsidRPr="00AE4DA0">
        <w:rPr>
          <w:rStyle w:val="FontStyle11"/>
          <w:rFonts w:ascii="Calibri" w:hAnsi="Calibri"/>
          <w:i/>
          <w:sz w:val="24"/>
          <w:szCs w:val="24"/>
        </w:rPr>
        <w:t>Rozporządzenie Ministra Pracy i Polityki Społecznej z dnia 26 września 1997 r. w sprawie ogólnych przepisów bezpieczeństwa i higieny pracy (Dz. U. z 1997 r. Nr 169, poz. 1650),</w:t>
      </w:r>
    </w:p>
    <w:sectPr w:rsidR="008F59B3" w:rsidRPr="00AE4DA0" w:rsidSect="00373469">
      <w:pgSz w:w="11905" w:h="16837"/>
      <w:pgMar w:top="871" w:right="1333" w:bottom="1440" w:left="2355" w:header="426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9B3" w:rsidRDefault="008F59B3">
      <w:r>
        <w:separator/>
      </w:r>
    </w:p>
  </w:endnote>
  <w:endnote w:type="continuationSeparator" w:id="0">
    <w:p w:rsidR="008F59B3" w:rsidRDefault="008F5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9B3" w:rsidRDefault="00527693">
    <w:pPr>
      <w:pStyle w:val="Style4"/>
      <w:widowControl/>
      <w:jc w:val="right"/>
      <w:rPr>
        <w:rStyle w:val="FontStyle17"/>
      </w:rPr>
    </w:pPr>
    <w:r>
      <w:rPr>
        <w:rStyle w:val="FontStyle17"/>
      </w:rPr>
      <w:fldChar w:fldCharType="begin"/>
    </w:r>
    <w:r w:rsidR="008F59B3">
      <w:rPr>
        <w:rStyle w:val="FontStyle17"/>
      </w:rPr>
      <w:instrText>PAGE</w:instrText>
    </w:r>
    <w:r>
      <w:rPr>
        <w:rStyle w:val="FontStyle17"/>
      </w:rPr>
      <w:fldChar w:fldCharType="separate"/>
    </w:r>
    <w:r w:rsidR="003D3AEA">
      <w:rPr>
        <w:rStyle w:val="FontStyle17"/>
        <w:noProof/>
      </w:rPr>
      <w:t>1</w:t>
    </w:r>
    <w:r>
      <w:rPr>
        <w:rStyle w:val="FontStyle1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9B3" w:rsidRDefault="008F59B3">
      <w:r>
        <w:separator/>
      </w:r>
    </w:p>
  </w:footnote>
  <w:footnote w:type="continuationSeparator" w:id="0">
    <w:p w:rsidR="008F59B3" w:rsidRDefault="008F59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9B3" w:rsidRPr="00CB77CF" w:rsidRDefault="008F59B3" w:rsidP="00CB77CF">
    <w:pPr>
      <w:pStyle w:val="Nagwek"/>
      <w:jc w:val="center"/>
      <w:rPr>
        <w:rFonts w:ascii="Calibri" w:hAnsi="Calibri"/>
        <w:sz w:val="20"/>
        <w:szCs w:val="20"/>
      </w:rPr>
    </w:pPr>
    <w:r w:rsidRPr="00CB77CF">
      <w:rPr>
        <w:rFonts w:ascii="Calibri" w:hAnsi="Calibri"/>
        <w:bCs/>
        <w:i/>
        <w:iCs/>
        <w:sz w:val="20"/>
        <w:szCs w:val="20"/>
      </w:rPr>
      <w:t xml:space="preserve">Załącznik nr </w:t>
    </w:r>
    <w:r w:rsidR="003D3AEA">
      <w:rPr>
        <w:rFonts w:ascii="Calibri" w:hAnsi="Calibri"/>
        <w:bCs/>
        <w:i/>
        <w:iCs/>
        <w:sz w:val="20"/>
        <w:szCs w:val="20"/>
      </w:rPr>
      <w:t>10</w:t>
    </w:r>
    <w:r w:rsidRPr="00CB77CF">
      <w:rPr>
        <w:rFonts w:ascii="Calibri" w:hAnsi="Calibri"/>
        <w:bCs/>
        <w:i/>
        <w:iCs/>
        <w:sz w:val="20"/>
        <w:szCs w:val="20"/>
      </w:rPr>
      <w:t xml:space="preserve"> do SIWZ</w:t>
    </w:r>
  </w:p>
  <w:p w:rsidR="008F59B3" w:rsidRPr="00CB77CF" w:rsidRDefault="008F59B3" w:rsidP="00CB77CF">
    <w:pPr>
      <w:pStyle w:val="Nagwek"/>
      <w:jc w:val="center"/>
      <w:rPr>
        <w:rFonts w:ascii="Calibri" w:hAnsi="Calibri"/>
        <w:bCs/>
        <w:i/>
        <w:iCs/>
        <w:sz w:val="20"/>
        <w:szCs w:val="20"/>
      </w:rPr>
    </w:pPr>
    <w:r w:rsidRPr="00CB77CF">
      <w:rPr>
        <w:rFonts w:ascii="Calibri" w:hAnsi="Calibri"/>
        <w:bCs/>
        <w:i/>
        <w:iCs/>
        <w:sz w:val="20"/>
        <w:szCs w:val="20"/>
      </w:rPr>
      <w:t>ZPUB.271.7.2011</w:t>
    </w:r>
  </w:p>
  <w:p w:rsidR="008F59B3" w:rsidRDefault="00527693">
    <w:pPr>
      <w:pStyle w:val="Nagwek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49.5pt;margin-top:6.2pt;width:478.5pt;height:1.5pt;flip:y;z-index:251660288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C2564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/>
        <w:b w:val="0"/>
        <w:u w:val="none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1542E92"/>
    <w:multiLevelType w:val="singleLevel"/>
    <w:tmpl w:val="95EAB7D8"/>
    <w:lvl w:ilvl="0">
      <w:start w:val="1"/>
      <w:numFmt w:val="decimal"/>
      <w:lvlText w:val="1.5.%1"/>
      <w:legacy w:legacy="1" w:legacySpace="0" w:legacyIndent="403"/>
      <w:lvlJc w:val="left"/>
      <w:rPr>
        <w:rFonts w:ascii="Tahoma" w:hAnsi="Tahoma" w:cs="Tahoma" w:hint="default"/>
      </w:rPr>
    </w:lvl>
  </w:abstractNum>
  <w:abstractNum w:abstractNumId="3">
    <w:nsid w:val="03E17D34"/>
    <w:multiLevelType w:val="singleLevel"/>
    <w:tmpl w:val="1856F0E8"/>
    <w:lvl w:ilvl="0">
      <w:start w:val="1"/>
      <w:numFmt w:val="decimal"/>
      <w:lvlText w:val="2.%1"/>
      <w:legacy w:legacy="1" w:legacySpace="0" w:legacyIndent="281"/>
      <w:lvlJc w:val="left"/>
      <w:rPr>
        <w:rFonts w:ascii="Tahoma" w:hAnsi="Tahoma" w:cs="Tahoma" w:hint="default"/>
      </w:rPr>
    </w:lvl>
  </w:abstractNum>
  <w:abstractNum w:abstractNumId="4">
    <w:nsid w:val="047C362C"/>
    <w:multiLevelType w:val="singleLevel"/>
    <w:tmpl w:val="D400A820"/>
    <w:lvl w:ilvl="0">
      <w:start w:val="1"/>
      <w:numFmt w:val="decimal"/>
      <w:lvlText w:val="8.%1"/>
      <w:legacy w:legacy="1" w:legacySpace="0" w:legacyIndent="281"/>
      <w:lvlJc w:val="left"/>
      <w:rPr>
        <w:rFonts w:ascii="Tahoma" w:hAnsi="Tahoma" w:cs="Tahoma" w:hint="default"/>
      </w:rPr>
    </w:lvl>
  </w:abstractNum>
  <w:abstractNum w:abstractNumId="5">
    <w:nsid w:val="04D054E1"/>
    <w:multiLevelType w:val="multilevel"/>
    <w:tmpl w:val="FA80BFE8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7851743"/>
    <w:multiLevelType w:val="singleLevel"/>
    <w:tmpl w:val="310E477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</w:rPr>
    </w:lvl>
  </w:abstractNum>
  <w:abstractNum w:abstractNumId="7">
    <w:nsid w:val="0CD50723"/>
    <w:multiLevelType w:val="singleLevel"/>
    <w:tmpl w:val="F7BECB92"/>
    <w:lvl w:ilvl="0">
      <w:start w:val="1"/>
      <w:numFmt w:val="lowerLetter"/>
      <w:lvlText w:val="%1)"/>
      <w:legacy w:legacy="1" w:legacySpace="0" w:legacyIndent="283"/>
      <w:lvlJc w:val="left"/>
      <w:pPr>
        <w:ind w:left="571" w:hanging="283"/>
      </w:pPr>
      <w:rPr>
        <w:rFonts w:cs="Times New Roman"/>
      </w:rPr>
    </w:lvl>
  </w:abstractNum>
  <w:abstractNum w:abstractNumId="8">
    <w:nsid w:val="12D63D86"/>
    <w:multiLevelType w:val="hybridMultilevel"/>
    <w:tmpl w:val="00D40980"/>
    <w:lvl w:ilvl="0" w:tplc="D474F4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3F68E9"/>
    <w:multiLevelType w:val="singleLevel"/>
    <w:tmpl w:val="F7BECB92"/>
    <w:lvl w:ilvl="0">
      <w:start w:val="1"/>
      <w:numFmt w:val="lowerLetter"/>
      <w:lvlText w:val="%1)"/>
      <w:legacy w:legacy="1" w:legacySpace="0" w:legacyIndent="283"/>
      <w:lvlJc w:val="left"/>
      <w:pPr>
        <w:ind w:left="571" w:hanging="283"/>
      </w:pPr>
      <w:rPr>
        <w:rFonts w:cs="Times New Roman"/>
      </w:rPr>
    </w:lvl>
  </w:abstractNum>
  <w:abstractNum w:abstractNumId="10">
    <w:nsid w:val="1730336F"/>
    <w:multiLevelType w:val="multilevel"/>
    <w:tmpl w:val="B1E661B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hint="default"/>
      </w:rPr>
    </w:lvl>
    <w:lvl w:ilvl="1">
      <w:start w:val="1"/>
      <w:numFmt w:val="decimal"/>
      <w:suff w:val="space"/>
      <w:lvlText w:val="%1.%2."/>
      <w:lvlJc w:val="left"/>
      <w:pPr>
        <w:tabs>
          <w:tab w:val="num" w:pos="1418"/>
        </w:tabs>
        <w:ind w:left="2269" w:hanging="851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tabs>
          <w:tab w:val="num" w:pos="131"/>
        </w:tabs>
        <w:ind w:left="1355" w:hanging="504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>
    <w:nsid w:val="17816D6C"/>
    <w:multiLevelType w:val="singleLevel"/>
    <w:tmpl w:val="2F2C295C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2">
    <w:nsid w:val="19A86C5A"/>
    <w:multiLevelType w:val="hybridMultilevel"/>
    <w:tmpl w:val="F96C5EFA"/>
    <w:lvl w:ilvl="0" w:tplc="D474F44E">
      <w:start w:val="1"/>
      <w:numFmt w:val="bullet"/>
      <w:lvlText w:val="-"/>
      <w:lvlJc w:val="left"/>
      <w:pPr>
        <w:ind w:left="186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3">
    <w:nsid w:val="1E8916A2"/>
    <w:multiLevelType w:val="hybridMultilevel"/>
    <w:tmpl w:val="089483F8"/>
    <w:lvl w:ilvl="0" w:tplc="D474F4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577114"/>
    <w:multiLevelType w:val="singleLevel"/>
    <w:tmpl w:val="961E7EA4"/>
    <w:lvl w:ilvl="0">
      <w:start w:val="9"/>
      <w:numFmt w:val="decimal"/>
      <w:lvlText w:val="%1."/>
      <w:legacy w:legacy="1" w:legacySpace="0" w:legacyIndent="288"/>
      <w:lvlJc w:val="left"/>
      <w:rPr>
        <w:rFonts w:ascii="Tahoma" w:hAnsi="Tahoma" w:cs="Tahoma" w:hint="default"/>
      </w:rPr>
    </w:lvl>
  </w:abstractNum>
  <w:abstractNum w:abstractNumId="15">
    <w:nsid w:val="2B604A99"/>
    <w:multiLevelType w:val="singleLevel"/>
    <w:tmpl w:val="2CB209A2"/>
    <w:lvl w:ilvl="0">
      <w:start w:val="6"/>
      <w:numFmt w:val="decimal"/>
      <w:lvlText w:val="1.%1"/>
      <w:legacy w:legacy="1" w:legacySpace="0" w:legacyIndent="382"/>
      <w:lvlJc w:val="left"/>
      <w:rPr>
        <w:rFonts w:ascii="Tahoma" w:hAnsi="Tahoma" w:cs="Tahoma" w:hint="default"/>
      </w:rPr>
    </w:lvl>
  </w:abstractNum>
  <w:abstractNum w:abstractNumId="16">
    <w:nsid w:val="3C973A81"/>
    <w:multiLevelType w:val="singleLevel"/>
    <w:tmpl w:val="5628BB02"/>
    <w:lvl w:ilvl="0">
      <w:start w:val="3"/>
      <w:numFmt w:val="decimal"/>
      <w:lvlText w:val="%1."/>
      <w:legacy w:legacy="1" w:legacySpace="0" w:legacyIndent="216"/>
      <w:lvlJc w:val="left"/>
      <w:rPr>
        <w:rFonts w:ascii="Tahoma" w:hAnsi="Tahoma" w:cs="Tahoma" w:hint="default"/>
      </w:rPr>
    </w:lvl>
  </w:abstractNum>
  <w:abstractNum w:abstractNumId="17">
    <w:nsid w:val="3EE50A0C"/>
    <w:multiLevelType w:val="singleLevel"/>
    <w:tmpl w:val="F50C5A4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402E55A1"/>
    <w:multiLevelType w:val="hybridMultilevel"/>
    <w:tmpl w:val="88C45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062225B"/>
    <w:multiLevelType w:val="singleLevel"/>
    <w:tmpl w:val="5ADADB58"/>
    <w:lvl w:ilvl="0">
      <w:start w:val="1"/>
      <w:numFmt w:val="decimal"/>
      <w:lvlText w:val="8.2.%1"/>
      <w:legacy w:legacy="1" w:legacySpace="0" w:legacyIndent="410"/>
      <w:lvlJc w:val="left"/>
      <w:rPr>
        <w:rFonts w:ascii="Tahoma" w:hAnsi="Tahoma" w:cs="Tahoma" w:hint="default"/>
      </w:rPr>
    </w:lvl>
  </w:abstractNum>
  <w:abstractNum w:abstractNumId="20">
    <w:nsid w:val="499939B9"/>
    <w:multiLevelType w:val="singleLevel"/>
    <w:tmpl w:val="D7660EB8"/>
    <w:lvl w:ilvl="0">
      <w:start w:val="1"/>
      <w:numFmt w:val="decimal"/>
      <w:lvlText w:val="1.%1"/>
      <w:legacy w:legacy="1" w:legacySpace="0" w:legacyIndent="331"/>
      <w:lvlJc w:val="left"/>
      <w:rPr>
        <w:rFonts w:ascii="Tahoma" w:hAnsi="Tahoma" w:cs="Tahoma" w:hint="default"/>
      </w:rPr>
    </w:lvl>
  </w:abstractNum>
  <w:abstractNum w:abstractNumId="21">
    <w:nsid w:val="4F2B69CE"/>
    <w:multiLevelType w:val="singleLevel"/>
    <w:tmpl w:val="C5C0D724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2">
    <w:nsid w:val="524B4C99"/>
    <w:multiLevelType w:val="multilevel"/>
    <w:tmpl w:val="E320C67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1418"/>
        </w:tabs>
        <w:ind w:left="2269" w:hanging="851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tabs>
          <w:tab w:val="num" w:pos="131"/>
        </w:tabs>
        <w:ind w:left="1355" w:hanging="504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23">
    <w:nsid w:val="55975CD6"/>
    <w:multiLevelType w:val="hybridMultilevel"/>
    <w:tmpl w:val="79B22C40"/>
    <w:lvl w:ilvl="0" w:tplc="D474F4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91F91"/>
    <w:multiLevelType w:val="hybridMultilevel"/>
    <w:tmpl w:val="65A01E6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>
    <w:nsid w:val="56AA022A"/>
    <w:multiLevelType w:val="singleLevel"/>
    <w:tmpl w:val="5FC0C58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</w:rPr>
    </w:lvl>
  </w:abstractNum>
  <w:abstractNum w:abstractNumId="26">
    <w:nsid w:val="5811518F"/>
    <w:multiLevelType w:val="singleLevel"/>
    <w:tmpl w:val="F7BECB92"/>
    <w:lvl w:ilvl="0">
      <w:start w:val="1"/>
      <w:numFmt w:val="lowerLetter"/>
      <w:lvlText w:val="%1)"/>
      <w:legacy w:legacy="1" w:legacySpace="0" w:legacyIndent="283"/>
      <w:lvlJc w:val="left"/>
      <w:pPr>
        <w:ind w:left="571" w:hanging="283"/>
      </w:pPr>
      <w:rPr>
        <w:rFonts w:cs="Times New Roman"/>
      </w:rPr>
    </w:lvl>
  </w:abstractNum>
  <w:abstractNum w:abstractNumId="27">
    <w:nsid w:val="599F7E0D"/>
    <w:multiLevelType w:val="singleLevel"/>
    <w:tmpl w:val="325426B2"/>
    <w:lvl w:ilvl="0">
      <w:start w:val="2"/>
      <w:numFmt w:val="decimal"/>
      <w:lvlText w:val="5.%1"/>
      <w:legacy w:legacy="1" w:legacySpace="0" w:legacyIndent="331"/>
      <w:lvlJc w:val="left"/>
      <w:rPr>
        <w:rFonts w:ascii="Tahoma" w:hAnsi="Tahoma" w:cs="Tahoma" w:hint="default"/>
      </w:rPr>
    </w:lvl>
  </w:abstractNum>
  <w:abstractNum w:abstractNumId="28">
    <w:nsid w:val="5C8825A2"/>
    <w:multiLevelType w:val="hybridMultilevel"/>
    <w:tmpl w:val="F3F0CDDA"/>
    <w:lvl w:ilvl="0" w:tplc="D474F4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E9636C"/>
    <w:multiLevelType w:val="singleLevel"/>
    <w:tmpl w:val="CD2E1D92"/>
    <w:lvl w:ilvl="0">
      <w:start w:val="1"/>
      <w:numFmt w:val="decimal"/>
      <w:lvlText w:val="10.%1"/>
      <w:legacy w:legacy="1" w:legacySpace="0" w:legacyIndent="418"/>
      <w:lvlJc w:val="left"/>
      <w:rPr>
        <w:rFonts w:ascii="Tahoma" w:hAnsi="Tahoma" w:cs="Tahoma" w:hint="default"/>
      </w:rPr>
    </w:lvl>
  </w:abstractNum>
  <w:abstractNum w:abstractNumId="30">
    <w:nsid w:val="61FF30F9"/>
    <w:multiLevelType w:val="singleLevel"/>
    <w:tmpl w:val="0F70769C"/>
    <w:lvl w:ilvl="0">
      <w:start w:val="1"/>
      <w:numFmt w:val="decimal"/>
      <w:lvlText w:val="5.%1"/>
      <w:legacy w:legacy="1" w:legacySpace="0" w:legacyIndent="331"/>
      <w:lvlJc w:val="left"/>
      <w:rPr>
        <w:rFonts w:ascii="Tahoma" w:hAnsi="Tahoma" w:cs="Tahoma" w:hint="default"/>
      </w:rPr>
    </w:lvl>
  </w:abstractNum>
  <w:abstractNum w:abstractNumId="31">
    <w:nsid w:val="6E7A0CE9"/>
    <w:multiLevelType w:val="singleLevel"/>
    <w:tmpl w:val="D1EC0764"/>
    <w:lvl w:ilvl="0">
      <w:start w:val="1"/>
      <w:numFmt w:val="decimal"/>
      <w:lvlText w:val="6.%1"/>
      <w:legacy w:legacy="1" w:legacySpace="0" w:legacyIndent="331"/>
      <w:lvlJc w:val="left"/>
      <w:rPr>
        <w:rFonts w:ascii="Tahoma" w:hAnsi="Tahoma" w:cs="Tahoma" w:hint="default"/>
      </w:rPr>
    </w:lvl>
  </w:abstractNum>
  <w:abstractNum w:abstractNumId="32">
    <w:nsid w:val="70134DCC"/>
    <w:multiLevelType w:val="hybridMultilevel"/>
    <w:tmpl w:val="BC021AB0"/>
    <w:lvl w:ilvl="0" w:tplc="D474F44E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72711865"/>
    <w:multiLevelType w:val="hybridMultilevel"/>
    <w:tmpl w:val="2E666768"/>
    <w:lvl w:ilvl="0" w:tplc="FE70C1E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>
    <w:nsid w:val="72F741EB"/>
    <w:multiLevelType w:val="hybridMultilevel"/>
    <w:tmpl w:val="128CC9A0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  <w:lvlOverride w:ilvl="0">
      <w:lvl w:ilvl="0">
        <w:start w:val="1"/>
        <w:numFmt w:val="decimal"/>
        <w:lvlText w:val="1.%1"/>
        <w:legacy w:legacy="1" w:legacySpace="0" w:legacyIndent="266"/>
        <w:lvlJc w:val="left"/>
        <w:rPr>
          <w:rFonts w:ascii="Tahoma" w:hAnsi="Tahoma" w:cs="Tahoma" w:hint="default"/>
        </w:rPr>
      </w:lvl>
    </w:lvlOverride>
  </w:num>
  <w:num w:numId="3">
    <w:abstractNumId w:val="20"/>
    <w:lvlOverride w:ilvl="0">
      <w:lvl w:ilvl="0">
        <w:start w:val="1"/>
        <w:numFmt w:val="decimal"/>
        <w:lvlText w:val="1.%1"/>
        <w:legacy w:legacy="1" w:legacySpace="0" w:legacyIndent="317"/>
        <w:lvlJc w:val="left"/>
        <w:rPr>
          <w:rFonts w:ascii="Tahoma" w:hAnsi="Tahoma" w:cs="Tahoma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1.5.%1"/>
        <w:legacy w:legacy="1" w:legacySpace="0" w:legacyIndent="497"/>
        <w:lvlJc w:val="left"/>
        <w:rPr>
          <w:rFonts w:ascii="Tahoma" w:hAnsi="Tahoma" w:cs="Tahoma" w:hint="default"/>
        </w:rPr>
      </w:lvl>
    </w:lvlOverride>
  </w:num>
  <w:num w:numId="6">
    <w:abstractNumId w:val="15"/>
  </w:num>
  <w:num w:numId="7">
    <w:abstractNumId w:val="3"/>
  </w:num>
  <w:num w:numId="8">
    <w:abstractNumId w:val="16"/>
  </w:num>
  <w:num w:numId="9">
    <w:abstractNumId w:val="30"/>
  </w:num>
  <w:num w:numId="10">
    <w:abstractNumId w:val="27"/>
  </w:num>
  <w:num w:numId="11">
    <w:abstractNumId w:val="31"/>
  </w:num>
  <w:num w:numId="12">
    <w:abstractNumId w:val="4"/>
  </w:num>
  <w:num w:numId="13">
    <w:abstractNumId w:val="19"/>
  </w:num>
  <w:num w:numId="14">
    <w:abstractNumId w:val="14"/>
  </w:num>
  <w:num w:numId="15">
    <w:abstractNumId w:val="29"/>
  </w:num>
  <w:num w:numId="16">
    <w:abstractNumId w:val="22"/>
  </w:num>
  <w:num w:numId="17">
    <w:abstractNumId w:val="18"/>
  </w:num>
  <w:num w:numId="18">
    <w:abstractNumId w:val="13"/>
  </w:num>
  <w:num w:numId="19">
    <w:abstractNumId w:val="32"/>
  </w:num>
  <w:num w:numId="20">
    <w:abstractNumId w:val="28"/>
  </w:num>
  <w:num w:numId="21">
    <w:abstractNumId w:val="8"/>
  </w:num>
  <w:num w:numId="22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3">
    <w:abstractNumId w:val="5"/>
  </w:num>
  <w:num w:numId="24">
    <w:abstractNumId w:val="25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11"/>
    <w:lvlOverride w:ilvl="0">
      <w:startOverride w:val="2"/>
    </w:lvlOverride>
  </w:num>
  <w:num w:numId="27">
    <w:abstractNumId w:val="9"/>
    <w:lvlOverride w:ilvl="0">
      <w:startOverride w:val="1"/>
    </w:lvlOverride>
  </w:num>
  <w:num w:numId="28">
    <w:abstractNumId w:val="6"/>
    <w:lvlOverride w:ilvl="0">
      <w:startOverride w:val="4"/>
    </w:lvlOverride>
  </w:num>
  <w:num w:numId="29">
    <w:abstractNumId w:val="26"/>
    <w:lvlOverride w:ilvl="0">
      <w:startOverride w:val="1"/>
    </w:lvlOverride>
  </w:num>
  <w:num w:numId="30">
    <w:abstractNumId w:val="21"/>
    <w:lvlOverride w:ilvl="0">
      <w:startOverride w:val="5"/>
    </w:lvlOverride>
  </w:num>
  <w:num w:numId="31">
    <w:abstractNumId w:val="34"/>
  </w:num>
  <w:num w:numId="32">
    <w:abstractNumId w:val="12"/>
  </w:num>
  <w:num w:numId="33">
    <w:abstractNumId w:val="24"/>
  </w:num>
  <w:num w:numId="34">
    <w:abstractNumId w:val="33"/>
  </w:num>
  <w:num w:numId="35">
    <w:abstractNumId w:val="17"/>
    <w:lvlOverride w:ilvl="0">
      <w:startOverride w:val="1"/>
    </w:lvlOverride>
  </w:num>
  <w:num w:numId="36">
    <w:abstractNumId w:val="23"/>
  </w:num>
  <w:num w:numId="37">
    <w:abstractNumId w:val="10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015"/>
    <w:rsid w:val="000E697B"/>
    <w:rsid w:val="00173015"/>
    <w:rsid w:val="001B78B2"/>
    <w:rsid w:val="001E1A70"/>
    <w:rsid w:val="00214BEC"/>
    <w:rsid w:val="00236ED6"/>
    <w:rsid w:val="00292295"/>
    <w:rsid w:val="002A38AC"/>
    <w:rsid w:val="0034143F"/>
    <w:rsid w:val="00373469"/>
    <w:rsid w:val="003B4FD6"/>
    <w:rsid w:val="003C4B43"/>
    <w:rsid w:val="003D3AEA"/>
    <w:rsid w:val="003E257E"/>
    <w:rsid w:val="00431159"/>
    <w:rsid w:val="00466D62"/>
    <w:rsid w:val="004E1D51"/>
    <w:rsid w:val="00506FBE"/>
    <w:rsid w:val="005120D7"/>
    <w:rsid w:val="00527693"/>
    <w:rsid w:val="00531A23"/>
    <w:rsid w:val="005320EA"/>
    <w:rsid w:val="00596F44"/>
    <w:rsid w:val="005E0E28"/>
    <w:rsid w:val="00606251"/>
    <w:rsid w:val="00655CCC"/>
    <w:rsid w:val="00686BDD"/>
    <w:rsid w:val="00705154"/>
    <w:rsid w:val="00706462"/>
    <w:rsid w:val="007438C5"/>
    <w:rsid w:val="007B0515"/>
    <w:rsid w:val="0080001E"/>
    <w:rsid w:val="008C6D53"/>
    <w:rsid w:val="008F59B3"/>
    <w:rsid w:val="0090008D"/>
    <w:rsid w:val="00925E53"/>
    <w:rsid w:val="00A40DE1"/>
    <w:rsid w:val="00A62A50"/>
    <w:rsid w:val="00A80BCC"/>
    <w:rsid w:val="00AC6AB1"/>
    <w:rsid w:val="00AE4DA0"/>
    <w:rsid w:val="00AF30F4"/>
    <w:rsid w:val="00B160BE"/>
    <w:rsid w:val="00B9302D"/>
    <w:rsid w:val="00C061F7"/>
    <w:rsid w:val="00C13D03"/>
    <w:rsid w:val="00C80B25"/>
    <w:rsid w:val="00CB77CF"/>
    <w:rsid w:val="00D11B13"/>
    <w:rsid w:val="00D54A68"/>
    <w:rsid w:val="00D56570"/>
    <w:rsid w:val="00E0135F"/>
    <w:rsid w:val="00E25EDF"/>
    <w:rsid w:val="00E25F0A"/>
    <w:rsid w:val="00E4012F"/>
    <w:rsid w:val="00E84A9F"/>
    <w:rsid w:val="00F07029"/>
    <w:rsid w:val="00F35122"/>
    <w:rsid w:val="00F53D23"/>
    <w:rsid w:val="00FD7681"/>
    <w:rsid w:val="00FF0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4B43"/>
    <w:pPr>
      <w:widowControl w:val="0"/>
      <w:autoSpaceDE w:val="0"/>
      <w:autoSpaceDN w:val="0"/>
      <w:adjustRightInd w:val="0"/>
    </w:pPr>
    <w:rPr>
      <w:rFonts w:hAnsi="Tahoma" w:cs="Tahoma"/>
      <w:sz w:val="24"/>
      <w:szCs w:val="24"/>
    </w:rPr>
  </w:style>
  <w:style w:type="paragraph" w:styleId="Nagwek2">
    <w:name w:val="heading 2"/>
    <w:basedOn w:val="Normalny"/>
    <w:link w:val="Nagwek2Znak"/>
    <w:uiPriority w:val="99"/>
    <w:qFormat/>
    <w:rsid w:val="00C061F7"/>
    <w:pPr>
      <w:keepNext/>
      <w:widowControl/>
      <w:overflowPunct w:val="0"/>
      <w:spacing w:before="120" w:after="120"/>
      <w:jc w:val="both"/>
      <w:outlineLvl w:val="1"/>
    </w:pPr>
    <w:rPr>
      <w:rFonts w:ascii="Times New Roman" w:hAnsi="Times New Roman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C061F7"/>
    <w:rPr>
      <w:rFonts w:ascii="Times New Roman" w:hAnsi="Times New Roman" w:cs="Times New Roman"/>
      <w:b/>
      <w:sz w:val="20"/>
      <w:szCs w:val="20"/>
    </w:rPr>
  </w:style>
  <w:style w:type="paragraph" w:customStyle="1" w:styleId="Style1">
    <w:name w:val="Style1"/>
    <w:basedOn w:val="Normalny"/>
    <w:uiPriority w:val="99"/>
    <w:rsid w:val="003C4B43"/>
    <w:pPr>
      <w:spacing w:line="194" w:lineRule="exact"/>
      <w:ind w:firstLine="720"/>
    </w:pPr>
  </w:style>
  <w:style w:type="paragraph" w:customStyle="1" w:styleId="Style2">
    <w:name w:val="Style2"/>
    <w:basedOn w:val="Normalny"/>
    <w:uiPriority w:val="99"/>
    <w:rsid w:val="003C4B43"/>
    <w:pPr>
      <w:spacing w:line="382" w:lineRule="exact"/>
      <w:ind w:hanging="468"/>
    </w:pPr>
  </w:style>
  <w:style w:type="paragraph" w:customStyle="1" w:styleId="Style3">
    <w:name w:val="Style3"/>
    <w:basedOn w:val="Normalny"/>
    <w:uiPriority w:val="99"/>
    <w:rsid w:val="003C4B43"/>
    <w:pPr>
      <w:spacing w:line="281" w:lineRule="exact"/>
      <w:ind w:firstLine="1188"/>
    </w:pPr>
  </w:style>
  <w:style w:type="paragraph" w:customStyle="1" w:styleId="Style4">
    <w:name w:val="Style4"/>
    <w:basedOn w:val="Normalny"/>
    <w:uiPriority w:val="99"/>
    <w:rsid w:val="003C4B43"/>
  </w:style>
  <w:style w:type="paragraph" w:customStyle="1" w:styleId="Style5">
    <w:name w:val="Style5"/>
    <w:basedOn w:val="Normalny"/>
    <w:uiPriority w:val="99"/>
    <w:rsid w:val="003C4B43"/>
  </w:style>
  <w:style w:type="paragraph" w:customStyle="1" w:styleId="Style6">
    <w:name w:val="Style6"/>
    <w:basedOn w:val="Normalny"/>
    <w:uiPriority w:val="99"/>
    <w:rsid w:val="003C4B43"/>
  </w:style>
  <w:style w:type="paragraph" w:customStyle="1" w:styleId="Style7">
    <w:name w:val="Style7"/>
    <w:basedOn w:val="Normalny"/>
    <w:uiPriority w:val="99"/>
    <w:rsid w:val="003C4B43"/>
  </w:style>
  <w:style w:type="paragraph" w:customStyle="1" w:styleId="Style8">
    <w:name w:val="Style8"/>
    <w:basedOn w:val="Normalny"/>
    <w:uiPriority w:val="99"/>
    <w:rsid w:val="003C4B43"/>
  </w:style>
  <w:style w:type="paragraph" w:customStyle="1" w:styleId="Style9">
    <w:name w:val="Style9"/>
    <w:basedOn w:val="Normalny"/>
    <w:uiPriority w:val="99"/>
    <w:rsid w:val="003C4B43"/>
    <w:pPr>
      <w:spacing w:line="288" w:lineRule="exact"/>
      <w:jc w:val="both"/>
    </w:pPr>
  </w:style>
  <w:style w:type="paragraph" w:customStyle="1" w:styleId="Style10">
    <w:name w:val="Style10"/>
    <w:basedOn w:val="Normalny"/>
    <w:uiPriority w:val="99"/>
    <w:rsid w:val="003C4B43"/>
  </w:style>
  <w:style w:type="paragraph" w:customStyle="1" w:styleId="Style11">
    <w:name w:val="Style11"/>
    <w:basedOn w:val="Normalny"/>
    <w:uiPriority w:val="99"/>
    <w:rsid w:val="003C4B43"/>
    <w:pPr>
      <w:spacing w:line="194" w:lineRule="exact"/>
      <w:jc w:val="center"/>
    </w:pPr>
  </w:style>
  <w:style w:type="paragraph" w:customStyle="1" w:styleId="Style12">
    <w:name w:val="Style12"/>
    <w:basedOn w:val="Normalny"/>
    <w:uiPriority w:val="99"/>
    <w:rsid w:val="003C4B43"/>
    <w:pPr>
      <w:spacing w:line="202" w:lineRule="exact"/>
      <w:jc w:val="both"/>
    </w:pPr>
  </w:style>
  <w:style w:type="paragraph" w:customStyle="1" w:styleId="Style13">
    <w:name w:val="Style13"/>
    <w:basedOn w:val="Normalny"/>
    <w:uiPriority w:val="99"/>
    <w:rsid w:val="003C4B43"/>
  </w:style>
  <w:style w:type="paragraph" w:customStyle="1" w:styleId="Style14">
    <w:name w:val="Style14"/>
    <w:basedOn w:val="Normalny"/>
    <w:uiPriority w:val="99"/>
    <w:rsid w:val="003C4B43"/>
    <w:pPr>
      <w:spacing w:line="194" w:lineRule="exact"/>
      <w:ind w:hanging="216"/>
    </w:pPr>
  </w:style>
  <w:style w:type="character" w:customStyle="1" w:styleId="FontStyle16">
    <w:name w:val="Font Style16"/>
    <w:basedOn w:val="Domylnaczcionkaakapitu"/>
    <w:uiPriority w:val="99"/>
    <w:rsid w:val="003C4B43"/>
    <w:rPr>
      <w:rFonts w:ascii="Tahoma" w:hAnsi="Tahoma" w:cs="Tahoma"/>
      <w:color w:val="000000"/>
      <w:sz w:val="30"/>
      <w:szCs w:val="30"/>
    </w:rPr>
  </w:style>
  <w:style w:type="character" w:customStyle="1" w:styleId="FontStyle17">
    <w:name w:val="Font Style17"/>
    <w:basedOn w:val="Domylnaczcionkaakapitu"/>
    <w:uiPriority w:val="99"/>
    <w:rsid w:val="003C4B43"/>
    <w:rPr>
      <w:rFonts w:ascii="Tahoma" w:hAnsi="Tahoma" w:cs="Tahoma"/>
      <w:color w:val="000000"/>
      <w:sz w:val="20"/>
      <w:szCs w:val="20"/>
    </w:rPr>
  </w:style>
  <w:style w:type="character" w:customStyle="1" w:styleId="FontStyle18">
    <w:name w:val="Font Style18"/>
    <w:basedOn w:val="Domylnaczcionkaakapitu"/>
    <w:uiPriority w:val="99"/>
    <w:rsid w:val="003C4B43"/>
    <w:rPr>
      <w:rFonts w:ascii="Tahoma" w:hAnsi="Tahoma" w:cs="Tahoma"/>
      <w:color w:val="000000"/>
      <w:sz w:val="22"/>
      <w:szCs w:val="22"/>
    </w:rPr>
  </w:style>
  <w:style w:type="character" w:customStyle="1" w:styleId="FontStyle19">
    <w:name w:val="Font Style19"/>
    <w:basedOn w:val="Domylnaczcionkaakapitu"/>
    <w:uiPriority w:val="99"/>
    <w:rsid w:val="003C4B43"/>
    <w:rPr>
      <w:rFonts w:ascii="Tahoma" w:hAnsi="Tahoma" w:cs="Tahoma"/>
      <w:smallCaps/>
      <w:color w:val="000000"/>
      <w:sz w:val="20"/>
      <w:szCs w:val="20"/>
    </w:rPr>
  </w:style>
  <w:style w:type="character" w:customStyle="1" w:styleId="FontStyle20">
    <w:name w:val="Font Style20"/>
    <w:basedOn w:val="Domylnaczcionkaakapitu"/>
    <w:uiPriority w:val="99"/>
    <w:rsid w:val="003C4B43"/>
    <w:rPr>
      <w:rFonts w:ascii="Tahoma" w:hAnsi="Tahoma" w:cs="Tahoma"/>
      <w:b/>
      <w:bCs/>
      <w:color w:val="000000"/>
      <w:sz w:val="22"/>
      <w:szCs w:val="22"/>
    </w:rPr>
  </w:style>
  <w:style w:type="character" w:customStyle="1" w:styleId="FontStyle21">
    <w:name w:val="Font Style21"/>
    <w:basedOn w:val="Domylnaczcionkaakapitu"/>
    <w:uiPriority w:val="99"/>
    <w:rsid w:val="003C4B43"/>
    <w:rPr>
      <w:rFonts w:ascii="Tahoma" w:hAnsi="Tahoma" w:cs="Tahoma"/>
      <w:b/>
      <w:bCs/>
      <w:color w:val="000000"/>
      <w:sz w:val="20"/>
      <w:szCs w:val="20"/>
    </w:rPr>
  </w:style>
  <w:style w:type="character" w:customStyle="1" w:styleId="FontStyle22">
    <w:name w:val="Font Style22"/>
    <w:basedOn w:val="Domylnaczcionkaakapitu"/>
    <w:uiPriority w:val="99"/>
    <w:rsid w:val="00236ED6"/>
    <w:rPr>
      <w:rFonts w:ascii="Calibri" w:hAnsi="Calibri" w:cs="Times New Roman"/>
      <w:b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sid w:val="003C4B43"/>
    <w:rPr>
      <w:rFonts w:cs="Times New Roman"/>
      <w:color w:val="000080"/>
      <w:u w:val="single"/>
    </w:rPr>
  </w:style>
  <w:style w:type="character" w:customStyle="1" w:styleId="FontStyle12">
    <w:name w:val="Font Style12"/>
    <w:basedOn w:val="Domylnaczcionkaakapitu"/>
    <w:uiPriority w:val="99"/>
    <w:rsid w:val="00173015"/>
    <w:rPr>
      <w:rFonts w:ascii="Tahoma" w:hAnsi="Tahoma" w:cs="Tahoma"/>
      <w:b/>
      <w:bCs/>
      <w:color w:val="000000"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173015"/>
    <w:rPr>
      <w:rFonts w:ascii="Tahoma" w:hAnsi="Tahoma" w:cs="Tahoma"/>
      <w:b/>
      <w:bCs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173015"/>
    <w:rPr>
      <w:rFonts w:ascii="Tahoma" w:hAnsi="Tahoma" w:cs="Tahoma"/>
      <w:color w:val="000000"/>
      <w:sz w:val="18"/>
      <w:szCs w:val="18"/>
    </w:rPr>
  </w:style>
  <w:style w:type="character" w:customStyle="1" w:styleId="FontStyle11">
    <w:name w:val="Font Style11"/>
    <w:basedOn w:val="Domylnaczcionkaakapitu"/>
    <w:uiPriority w:val="99"/>
    <w:rsid w:val="00173015"/>
    <w:rPr>
      <w:rFonts w:ascii="Tahoma" w:hAnsi="Tahoma" w:cs="Tahoma"/>
      <w:color w:val="000000"/>
      <w:sz w:val="16"/>
      <w:szCs w:val="16"/>
    </w:rPr>
  </w:style>
  <w:style w:type="character" w:customStyle="1" w:styleId="FontStyle15">
    <w:name w:val="Font Style15"/>
    <w:basedOn w:val="Domylnaczcionkaakapitu"/>
    <w:uiPriority w:val="99"/>
    <w:rsid w:val="00173015"/>
    <w:rPr>
      <w:rFonts w:ascii="Tahoma" w:hAnsi="Tahoma" w:cs="Tahoma"/>
      <w:b/>
      <w:bCs/>
      <w:color w:val="000000"/>
      <w:sz w:val="18"/>
      <w:szCs w:val="18"/>
    </w:rPr>
  </w:style>
  <w:style w:type="paragraph" w:styleId="Akapitzlist">
    <w:name w:val="List Paragraph"/>
    <w:basedOn w:val="Normalny"/>
    <w:uiPriority w:val="99"/>
    <w:qFormat/>
    <w:rsid w:val="00236ED6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rsid w:val="0029229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tekstost">
    <w:name w:val="tekst ost"/>
    <w:basedOn w:val="Normalny"/>
    <w:uiPriority w:val="99"/>
    <w:rsid w:val="005E0E28"/>
    <w:pPr>
      <w:widowControl/>
      <w:overflowPunct w:val="0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E4DA0"/>
    <w:pPr>
      <w:widowControl/>
      <w:tabs>
        <w:tab w:val="left" w:pos="397"/>
        <w:tab w:val="left" w:pos="567"/>
      </w:tabs>
      <w:suppressAutoHyphens/>
      <w:overflowPunct w:val="0"/>
      <w:autoSpaceDN/>
      <w:adjustRightInd/>
      <w:jc w:val="both"/>
      <w:textAlignment w:val="baseline"/>
    </w:pPr>
    <w:rPr>
      <w:rFonts w:ascii="Times New Roman" w:hAnsi="Times New Roman" w:cs="Times New Roman"/>
      <w:position w:val="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E4DA0"/>
    <w:rPr>
      <w:rFonts w:ascii="Times New Roman" w:hAnsi="Times New Roman" w:cs="Times New Roman"/>
      <w:position w:val="6"/>
      <w:sz w:val="20"/>
      <w:szCs w:val="20"/>
      <w:lang w:eastAsia="ar-SA" w:bidi="ar-SA"/>
    </w:rPr>
  </w:style>
  <w:style w:type="paragraph" w:styleId="Nagwek">
    <w:name w:val="header"/>
    <w:basedOn w:val="Normalny"/>
    <w:link w:val="NagwekZnak"/>
    <w:uiPriority w:val="99"/>
    <w:rsid w:val="00CB77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B77CF"/>
    <w:rPr>
      <w:rFonts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rsid w:val="00CB77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CB77CF"/>
    <w:rPr>
      <w:rFonts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8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E:\ost\Roboty_wyk\d06010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3765</Words>
  <Characters>25054</Characters>
  <Application>Microsoft Office Word</Application>
  <DocSecurity>0</DocSecurity>
  <Lines>208</Lines>
  <Paragraphs>57</Paragraphs>
  <ScaleCrop>false</ScaleCrop>
  <Company/>
  <LinksUpToDate>false</LinksUpToDate>
  <CharactersWithSpaces>28762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WYKONANIA i ODBIORU ROBÓT BUDOWLANYCH</dc:title>
  <dc:subject/>
  <dc:creator>internet</dc:creator>
  <cp:keywords/>
  <dc:description/>
  <cp:lastModifiedBy>internet</cp:lastModifiedBy>
  <cp:revision>4</cp:revision>
  <cp:lastPrinted>2011-07-21T12:11:00Z</cp:lastPrinted>
  <dcterms:created xsi:type="dcterms:W3CDTF">2011-07-21T09:09:00Z</dcterms:created>
  <dcterms:modified xsi:type="dcterms:W3CDTF">2011-07-21T12:12:00Z</dcterms:modified>
</cp:coreProperties>
</file>